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oter000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Belfast City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Terms and conditions of employment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Recycling Operative – Grade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City Services (Resources and Fleet) Section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City and Neighbourhood Services Department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_______________________________________________________________________________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An appointment to this post will be made by the selection panel but will be subject to ratification by the director of the relevant department.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There are currently four part-time, permanent posts.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These part-time posts, terms and conditions will be applied on a pro rata basis.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color w:val="800080"/>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There may be a reserve list of applicants drawn up for this post which would last for a maximum of 12 months</w:t>
      </w:r>
      <w:r>
        <w:rPr>
          <w:rFonts w:ascii="Helvetica" w:hAnsi="Helvetica" w:eastAsia="Helvetica" w:cs="Helvetica"/>
          <w:i/>
          <w:iCs/>
          <w:sz w:val="22"/>
          <w:szCs w:val="22"/>
          <w:lang w:val="en-GB" w:eastAsia="en-GB" w:bidi="en-GB"/>
        </w:rPr>
        <w:t xml:space="preserve">.</w:t>
      </w:r>
      <w:r>
        <w:rPr>
          <w:rFonts w:ascii="Helvetica" w:hAnsi="Helvetica" w:eastAsia="Helvetica" w:cs="Helvetica"/>
          <w:lang w:val="en-GB" w:eastAsia="en-GB" w:bidi="en-GB"/>
        </w:rPr>
        <w:t xml:space="preserve"> </w:t>
      </w:r>
      <w:r>
        <w:rPr>
          <w:rFonts w:ascii="Helvetica" w:hAnsi="Helvetica" w:eastAsia="Helvetica" w:cs="Helvetica"/>
          <w:sz w:val="22"/>
          <w:szCs w:val="22"/>
          <w:lang w:val="en-GB" w:eastAsia="en-GB" w:bidi="en-GB"/>
        </w:rPr>
        <w:t xml:space="preserve">Should a similar post become vacant within this time, it may be offered to those on the reserve list, in order of merit, without further interview.  For generic-type posts, this may include posts in another department.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lang w:val="en-GB" w:eastAsia="en-GB" w:bidi="en-GB"/>
        </w:rPr>
      </w:pPr>
      <w:r>
        <w:rPr>
          <w:rFonts w:ascii="Helvetica" w:hAnsi="Helvetica" w:eastAsia="Helvetica" w:cs="Helvetica"/>
          <w:b/>
          <w:bCs/>
          <w:sz w:val="22"/>
          <w:szCs w:val="22"/>
          <w:lang w:val="en-GB" w:eastAsia="en-GB" w:bidi="en-GB"/>
        </w:rPr>
        <w:t xml:space="preserve">These posts may be either part-time on a permanent, temporary or </w:t>
      </w:r>
      <w:r>
        <w:rPr>
          <w:rStyle w:val="FootnoteReference"/>
          <w:rFonts w:ascii="Helvetica" w:hAnsi="Helvetica" w:eastAsia="Helvetica" w:cs="Helvetica"/>
          <w:b/>
          <w:bCs/>
          <w:sz w:val="22"/>
          <w:szCs w:val="22"/>
          <w:lang w:val="en-GB" w:eastAsia="en-GB" w:bidi="en-GB"/>
        </w:rPr>
        <w:footnoteReference w:id="1"/>
      </w:r>
      <w:r>
        <w:rPr>
          <w:rFonts w:ascii="Helvetica" w:hAnsi="Helvetica" w:eastAsia="Helvetica" w:cs="Helvetica"/>
          <w:b/>
          <w:bCs/>
          <w:sz w:val="22"/>
          <w:szCs w:val="22"/>
          <w:lang w:val="en-GB" w:eastAsia="en-GB" w:bidi="en-GB"/>
        </w:rPr>
        <w:t xml:space="preserve">fixed-term basis.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If you are offered and you accept a fixed term position e.g. a part-time, fixed term position for 6 months, and another part-time, fixed term position arises from the same recruitment campaign e.g. for 1 year, regardless of whether or not you are still working in your part-time, fixed term position, you will not be offered any further part-time, fixed term positions. Only in exceptional circumstances, when all relevant applicants on the reserve list for fixed term vacancies, full-time or part-time, have been offered opportunities for which they expressed a preference on their application form, and if the timing of the reserve list is still valid and there are still fixed term vacancies to fill before the reserve list expires, the council reserves the right to ‘revisit’ the reserve list in strict order of merit. This is the only time when an individual who has been appointed to a fixed term position e.g. a part-time, fixed term position can be offered another part-time, fixed term 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color w:val="800080"/>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lang w:val="en-GB" w:eastAsia="en-GB" w:bidi="en-GB"/>
        </w:rPr>
      </w:pPr>
      <w:r>
        <w:rPr>
          <w:rFonts w:ascii="Helvetica" w:hAnsi="Helvetica" w:eastAsia="Helvetica" w:cs="Helvetica"/>
          <w:sz w:val="22"/>
          <w:szCs w:val="22"/>
          <w:lang w:val="en-GB" w:eastAsia="en-GB" w:bidi="en-GB"/>
        </w:rPr>
        <w:t xml:space="preserve">If a similar post does become vacant within the timeframe of the reserve list, it will be offered to candidates on the reserve list in the following way:</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eastAsia="Helvetica" w:cs="Helvetica"/>
          <w:lang w:val="en-GB" w:eastAsia="en-GB" w:bidi="en-GB"/>
        </w:rPr>
      </w:pPr>
      <w:r>
        <w:rPr>
          <w:rFonts w:ascii="Helvetica" w:hAnsi="Helvetica" w:eastAsia="Helvetica" w:cs="Helvetica"/>
          <w:sz w:val="22"/>
          <w:szCs w:val="22"/>
          <w:lang w:val="en-GB" w:eastAsia="en-GB" w:bidi="en-GB"/>
        </w:rPr>
        <w:t xml:space="preserve">Candidates will be emailed or contacted by telephone and </w:t>
      </w:r>
      <w:r>
        <w:rPr>
          <w:rFonts w:ascii="Helvetica" w:hAnsi="Helvetica" w:eastAsia="Helvetica" w:cs="Helvetica"/>
          <w:b/>
          <w:bCs/>
          <w:sz w:val="22"/>
          <w:szCs w:val="22"/>
          <w:lang w:val="en-GB" w:eastAsia="en-GB" w:bidi="en-GB"/>
        </w:rPr>
        <w:t xml:space="preserve">must</w:t>
      </w:r>
      <w:r>
        <w:rPr>
          <w:rFonts w:ascii="Helvetica" w:hAnsi="Helvetica" w:eastAsia="Helvetica" w:cs="Helvetica"/>
          <w:sz w:val="22"/>
          <w:szCs w:val="22"/>
          <w:lang w:val="en-GB" w:eastAsia="en-GB" w:bidi="en-GB"/>
        </w:rPr>
        <w:t xml:space="preserve"> respond within three working days to accept or decline the post.</w:t>
      </w:r>
    </w:p>
    <w:p>
      <w:pPr>
        <w:pStyle w:val="ListParagraph"/>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Helvetica" w:hAnsi="Helvetica" w:eastAsia="Helvetica" w:cs="Helvetica"/>
          <w:lang w:val="en-GB" w:eastAsia="en-GB" w:bidi="en-GB"/>
        </w:rPr>
      </w:pPr>
      <w:r>
        <w:rPr>
          <w:rFonts w:ascii="Helvetica" w:hAnsi="Helvetica" w:eastAsia="Helvetica" w:cs="Helvetica"/>
          <w:sz w:val="22"/>
          <w:szCs w:val="22"/>
          <w:lang w:val="en-GB" w:eastAsia="en-GB" w:bidi="en-GB"/>
        </w:rPr>
        <w:t xml:space="preserve">If candidates do not respond within the above time frame, the post will be offered, in order of merit, to the next person on the reserve list. The names of those candidates who have not responded within the above timeframe will, however, be retained on the reserve list to be considered for future vacant posts.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lang w:val="en-GB" w:eastAsia="en-GB" w:bidi="en-GB"/>
        </w:rPr>
      </w:pPr>
      <w:r>
        <w:rPr>
          <w:rFonts w:ascii="Helvetica" w:hAnsi="Helvetica" w:eastAsia="Helvetica" w:cs="Helvetica"/>
          <w:sz w:val="22"/>
          <w:szCs w:val="22"/>
          <w:lang w:val="en-GB" w:eastAsia="en-GB" w:bidi="en-GB"/>
        </w:rPr>
        <w:t xml:space="preserve">Should your email address or your contact telephone number change after having submitted your online application form, it is your responsibility to log onto the Candidate Portal and update this information with your new contact details.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Job description: please refer to the job description for details of the duties of the post.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Employee specification: please refer to the attached employee specification for details of any qualifications, experience etc. which are required for the post. Should you be recommended for appointment to this post, you will be required to produce official original proof of any qualifications, etc. you relied upon to support your application.  Please also be advised that you must provide evidence to demonstrate that you were in possession of such qualifications, licences etc. at the closing date for applications.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Remuneration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The salary will be determined by the council in line with that determined by the National Joint Council for Local Government Services, currently Grade 3, SCP 10 to 13, £27,694, - £29,064, per annum with weekend enhancement, where appropriate (in normal circumstances, the starting salary is the minimum point), paid fortnightly by direct payment by the Bankers Automated Clearing System (BACS) to a bank or building society account of your choice.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color w:val="CC99FF"/>
          <w:sz w:val="22"/>
          <w:szCs w:val="22"/>
          <w:lang w:val="en-GB" w:eastAsia="en-GB" w:bidi="en-GB"/>
        </w:rPr>
      </w:pPr>
      <w:r>
        <w:rPr>
          <w:rFonts w:ascii="Helvetica" w:hAnsi="Helvetica" w:eastAsia="Helvetica" w:cs="Helvetica"/>
          <w:b/>
          <w:bCs/>
          <w:sz w:val="22"/>
          <w:szCs w:val="22"/>
          <w:lang w:val="en-GB" w:eastAsia="en-GB" w:bidi="en-GB"/>
        </w:rPr>
        <w:t xml:space="preserve">The council reserves the right to transfer you onto monthly pay by BACS at any stage in the future without payment.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Applicants should note that the above salary is based on a 37 hour working week.  Payment for this post will be on a pro rata basis that is, the salary will be based only on the contractual number of hours worked (as outlined below under Hours of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Location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You will be based initially in the Cecil Ward Building, 4-10 Linenhall Street, Belfast, BT2 8BP but will be required to work in and or visit other locations.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Pre-employment checks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Prior to taking up duty the person recommended for appointment must:</w:t>
      </w:r>
    </w:p>
    <w:p>
      <w:pPr>
        <w:pStyle w:val="Normal"/>
        <w:numPr>
          <w:ilvl w:val="0"/>
          <w:numId w:val="2"/>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Enter into an agreement which sets out the main terms and conditions of employment.</w:t>
      </w:r>
    </w:p>
    <w:p>
      <w:pPr>
        <w:pStyle w:val="Normal"/>
        <w:numPr>
          <w:ilvl w:val="0"/>
          <w:numId w:val="2"/>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Provide evidence of the right to work and reside in the UK via a digital identity check via the council’s Digital Verification Service (DVS). To use this method, you will need to hold a current UK or Irish biometric passport or passport card. Individuals who are unable to provide evidence of their right to work and reside in the UK via this method, </w:t>
      </w:r>
      <w:r>
        <w:rPr>
          <w:rFonts w:ascii="Helvetica" w:hAnsi="Helvetica" w:eastAsia="Helvetica" w:cs="Helvetica"/>
          <w:sz w:val="22"/>
          <w:szCs w:val="22"/>
          <w:lang w:val="en-US" w:eastAsia="en-US" w:bidi="en-US"/>
        </w:rPr>
        <w:t xml:space="preserve">must inform the council and a list of any official alternative documentation will be made available to them. </w:t>
      </w:r>
      <w:r>
        <w:rPr>
          <w:rFonts w:ascii="Helvetica" w:hAnsi="Helvetica" w:eastAsia="Helvetica" w:cs="Helvetica"/>
          <w:sz w:val="22"/>
          <w:szCs w:val="22"/>
          <w:lang w:val="en-GB" w:eastAsia="en-GB" w:bidi="en-GB"/>
        </w:rPr>
        <w:t xml:space="preserve">No temporary national insurance numbers can be accepted. </w:t>
      </w:r>
    </w:p>
    <w:p>
      <w:pPr>
        <w:pStyle w:val="Normal"/>
        <w:numPr>
          <w:ilvl w:val="0"/>
          <w:numId w:val="2"/>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If applicable, produce official evidence of your qualifications as required.  Please be advised that you must provide evidence to demonstrate that you were in possession of them at the closing date for applications.</w:t>
      </w:r>
    </w:p>
    <w:p>
      <w:pPr>
        <w:pStyle w:val="Normal"/>
        <w:numPr>
          <w:ilvl w:val="0"/>
          <w:numId w:val="2"/>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Provide details of the bank or building society account to which your salary or wage will be lodged.</w:t>
      </w:r>
    </w:p>
    <w:p>
      <w:pPr>
        <w:pStyle w:val="Normal"/>
        <w:numPr>
          <w:ilvl w:val="0"/>
          <w:numId w:val="2"/>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Pass satisfactorily a medical assessment by the council’s Occupational Health Service provider.</w:t>
      </w:r>
    </w:p>
    <w:p>
      <w:pPr>
        <w:pStyle w:val="Normal"/>
        <w:numPr>
          <w:ilvl w:val="0"/>
          <w:numId w:val="2"/>
        </w:num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Complete a disclosure of family relationships form.</w:t>
      </w:r>
    </w:p>
    <w:p>
      <w:pPr>
        <w:pStyle w:val="Normal"/>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hanging="426"/>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Most, if not all, of the above pre-employment checks must be submitted online by the recommended for appointment candidate via the council’s Onboarding Portal within 10 working days or consideration will be given to withdrawing the recommendation for appointment and no formal offer of appointment will be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i/>
          <w:i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An employee currently undertaking a temporary project/cover/review post will not be able to continue working for the remaining duration of this temporary post prior to taking up a permanent post, even if this temporary post is of a higher grade.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color w:val="FF0000"/>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Council policies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You will be required to comply with all current and future council policies, procedures, guidelines, agreed working practices and any relevant collective agreements incorporated into the contract of employment.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Please note, if you are charged with an act of criminal misconduct, whether on duty or not, you will be required to inform your line manager as soon as possible.  Being charged with a criminal offence is not sufficient grounds for dismissal and in all cases the nature of the offence and the effect on the employment relationship will determine the action to be taken in accordance with the council’s HR procedures.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Conditions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i/>
          <w:iCs/>
          <w:sz w:val="22"/>
          <w:szCs w:val="22"/>
          <w:lang w:val="en-GB" w:eastAsia="en-GB" w:bidi="en-GB"/>
        </w:rPr>
      </w:pPr>
      <w:r>
        <w:rPr>
          <w:rFonts w:ascii="Helvetica" w:hAnsi="Helvetica" w:eastAsia="Helvetica" w:cs="Helvetica"/>
          <w:sz w:val="22"/>
          <w:szCs w:val="22"/>
          <w:lang w:val="en-GB" w:eastAsia="en-GB" w:bidi="en-GB"/>
        </w:rPr>
        <w:t xml:space="preserve">The general conditions of service as prescribed from time to time by the National Joint Council for Local Government Services and by the council for its officers shall apply to the appointment.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i/>
          <w:i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i/>
          <w:iCs/>
          <w:sz w:val="22"/>
          <w:szCs w:val="22"/>
          <w:lang w:val="en-GB" w:eastAsia="en-GB" w:bidi="en-GB"/>
        </w:rPr>
      </w:pPr>
      <w:r>
        <w:rPr>
          <w:rFonts w:ascii="Helvetica" w:hAnsi="Helvetica" w:eastAsia="Helvetica" w:cs="Helvetica"/>
          <w:i/>
          <w:iCs/>
          <w:sz w:val="22"/>
          <w:szCs w:val="22"/>
          <w:lang w:val="en-GB" w:eastAsia="en-GB" w:bidi="en-GB"/>
        </w:rPr>
        <w:t xml:space="preserve">A copy of the council’s Disciplinary Procedure and Grievance Procedure will be issued to all new employees at the council’s Induction 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Service and hours of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The hours of duty are 10.5 hours per week, as per the following shift rota: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color w:val="17365D"/>
          <w:sz w:val="22"/>
          <w:szCs w:val="22"/>
          <w:lang w:val="en-GB" w:eastAsia="en-GB" w:bidi="en-GB"/>
        </w:rPr>
      </w:pPr>
      <w:r>
        <w:rPr>
          <w:lang w:val="en-GB" w:eastAsia="en-GB" w:bidi="en-GB"/>
        </w:rPr>
        <w:drawing>
          <wp:inline distT="0" distB="0" distL="0" distR="0">
            <wp:extent cx="4780280" cy="3280410"/>
            <wp:docPr id="1" name="Picture 1"/>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5"/>
                    <a:stretch>
                      <a:fillRect/>
                    </a:stretch>
                  </pic:blipFill>
                  <pic:spPr>
                    <a:xfrm>
                      <a:off x="0" y="0"/>
                      <a:ext cx="4780280" cy="328041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When advised, you will be required for operational reasons to work outside of these hours including on extra statutory, bank and/or public holidays.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 accordance with the National Joint Council for Local Government Services National Agreement on Pay and Conditions of Service variations to the established working week or patterns of work will be reasonable and subject to adequate notice.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Annual leave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Annual leave and extra statutory, bank or public holiday entitlement is calculated in hours/minutes.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If you are appointed on the standard full-time hours of 37 per week, you will be entitled to 177.6 hours (24 days) annual leave, plus 88.8 hours (12 days) bank or other holidays.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Annual leave entitlement will be increased by 37 hours (5 days) in the case of officers who have not less than 5 years’ continuous service and by a further 22.2 hours (3 days) in the case of officers who have not less than 10 years’ continuous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24"/>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Figures in brackets represent the number of days based upon a standard day of 7.4 hrs.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424"/>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If you do not work the standard full-time hours, annual leave and extra statutory, bank or public holiday entitlement will be calculated on a pro rata basis to their contracted hours, based on the standard full-time hours of 37 per week and a standard day of 7.4 hours (i.e. 7 hrs 24 minutes).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sz w:val="22"/>
          <w:szCs w:val="22"/>
          <w:lang w:val="en-GB" w:eastAsia="en-GB" w:bidi="en-GB"/>
        </w:rPr>
      </w:pPr>
      <w:r>
        <w:rPr>
          <w:rFonts w:ascii="Arial" w:hAnsi="Arial" w:eastAsia="Arial" w:cs="Arial"/>
          <w:sz w:val="22"/>
          <w:szCs w:val="22"/>
          <w:lang w:val="en-GB" w:eastAsia="en-GB" w:bidi="en-GB"/>
        </w:rPr>
        <w:t xml:space="preserve">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All employees required to work on extra statutory, bank or public holidays will be remunerated in accordance with Part 3, paragraph 2 of the </w:t>
      </w:r>
      <w:r>
        <w:rPr>
          <w:rFonts w:ascii="Helvetica" w:hAnsi="Helvetica" w:eastAsia="Helvetica" w:cs="Helvetica"/>
          <w:sz w:val="22"/>
          <w:szCs w:val="22"/>
          <w:lang w:val="en-GB" w:eastAsia="en-GB" w:bidi="en-GB"/>
        </w:rPr>
        <w:t xml:space="preserve">National Joint Council for Local Government Services National Agreement on Pay and Conditions of Service</w:t>
      </w:r>
      <w:r>
        <w:rPr>
          <w:rFonts w:ascii="Arial" w:hAnsi="Arial" w:eastAsia="Arial" w:cs="Arial"/>
          <w:sz w:val="22"/>
          <w:szCs w:val="22"/>
          <w:lang w:val="en-GB" w:eastAsia="en-GB" w:bidi="en-GB"/>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widowControl w:val="o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color w:val="5F497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Sick leave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4261"/>
        <w:gridCol w:w="4847"/>
      </w:tblGrid>
      <w:tr>
        <w:tc>
          <w:tcPr>
            <w:tcW w:w="42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During first year of service</w:t>
            </w:r>
          </w:p>
        </w:tc>
        <w:tc>
          <w:tcPr>
            <w:tcW w:w="48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one month’s full pay and (after completing four months service) two months half pay</w:t>
            </w:r>
          </w:p>
        </w:tc>
      </w:tr>
      <w:tr>
        <w:tc>
          <w:tcPr>
            <w:tcW w:w="42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tc>
        <w:tc>
          <w:tcPr>
            <w:tcW w:w="48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tc>
      </w:tr>
      <w:tr>
        <w:tc>
          <w:tcPr>
            <w:tcW w:w="42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During second year of service</w:t>
            </w:r>
          </w:p>
        </w:tc>
        <w:tc>
          <w:tcPr>
            <w:tcW w:w="48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two months’ full pay, and two months’ half pay</w:t>
            </w:r>
          </w:p>
        </w:tc>
      </w:tr>
      <w:tr>
        <w:tc>
          <w:tcPr>
            <w:tcW w:w="42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tc>
        <w:tc>
          <w:tcPr>
            <w:tcW w:w="48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tc>
      </w:tr>
      <w:tr>
        <w:tc>
          <w:tcPr>
            <w:tcW w:w="42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During third year of service</w:t>
            </w:r>
          </w:p>
        </w:tc>
        <w:tc>
          <w:tcPr>
            <w:tcW w:w="48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four months’ full pay, and four months’ half pay</w:t>
            </w:r>
          </w:p>
        </w:tc>
      </w:tr>
      <w:tr>
        <w:tc>
          <w:tcPr>
            <w:tcW w:w="42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tc>
        <w:tc>
          <w:tcPr>
            <w:tcW w:w="48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tc>
      </w:tr>
      <w:tr>
        <w:tc>
          <w:tcPr>
            <w:tcW w:w="42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During fourth and fifth years of service</w:t>
            </w:r>
          </w:p>
        </w:tc>
        <w:tc>
          <w:tcPr>
            <w:tcW w:w="48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five months’ full pay, and five months’ half pay</w:t>
            </w:r>
          </w:p>
        </w:tc>
      </w:tr>
      <w:tr>
        <w:tc>
          <w:tcPr>
            <w:tcW w:w="42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tc>
        <w:tc>
          <w:tcPr>
            <w:tcW w:w="48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tc>
      </w:tr>
      <w:tr>
        <w:tc>
          <w:tcPr>
            <w:tcW w:w="4261"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After five years’ service</w:t>
            </w:r>
          </w:p>
        </w:tc>
        <w:tc>
          <w:tcPr>
            <w:tcW w:w="4847"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six months’ full pay, and six months’ half pay</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i/>
          <w:i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Part-Time: Sick pay will be paid on a pro rata basis in accordance with the scheme.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i/>
          <w:iCs/>
          <w:color w:val="339966"/>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b/>
          <w:bCs/>
          <w:sz w:val="22"/>
          <w:szCs w:val="22"/>
          <w:lang w:val="en-US" w:eastAsia="en-US" w:bidi="en-US"/>
        </w:rPr>
      </w:pPr>
      <w:r>
        <w:rPr>
          <w:rFonts w:ascii="Helvetica" w:hAnsi="Helvetica" w:eastAsia="Helvetica" w:cs="Helvetica"/>
          <w:b/>
          <w:bCs/>
          <w:sz w:val="22"/>
          <w:szCs w:val="22"/>
          <w:lang w:val="en-US" w:eastAsia="en-US" w:bidi="en-US"/>
        </w:rPr>
        <w:t xml:space="preserve">Superannuation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US" w:eastAsia="en-US" w:bidi="en-US"/>
        </w:rPr>
      </w:pPr>
      <w:r>
        <w:rPr>
          <w:rFonts w:ascii="Helvetica" w:hAnsi="Helvetica" w:eastAsia="Helvetica" w:cs="Helvetica"/>
          <w:sz w:val="22"/>
          <w:szCs w:val="22"/>
          <w:lang w:val="en-US" w:eastAsia="en-US" w:bidi="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Pr>
          <w:rFonts w:ascii="Helvetica" w:hAnsi="Helvetica" w:eastAsia="Helvetica" w:cs="Helvetica"/>
          <w:sz w:val="22"/>
          <w:szCs w:val="22"/>
          <w:lang w:val="en-GB" w:eastAsia="en-GB" w:bidi="en-GB"/>
        </w:rPr>
        <w:t xml:space="preserve">Appointees (including for casual posts), who do not meet the criteria for immediate automatic enrolment, can opt to join the scheme by contacting Payroll in writing (email </w:t>
      </w:r>
      <w:r>
        <w:rPr>
          <w:rFonts w:ascii="Helvetica" w:hAnsi="Helvetica" w:eastAsia="Helvetica" w:cs="Helvetica"/>
          <w:color w:val="0000FF"/>
          <w:sz w:val="22"/>
          <w:szCs w:val="22"/>
          <w:u w:val="single"/>
          <w:lang w:val="en-GB" w:eastAsia="en-GB" w:bidi="en-GB"/>
        </w:rPr>
        <w:fldChar w:fldCharType="begin"/>
      </w:r>
      <w:r>
        <w:rPr>
          <w:rFonts w:ascii="Helvetica" w:hAnsi="Helvetica" w:eastAsia="Helvetica" w:cs="Helvetica"/>
          <w:color w:val="0000FF"/>
          <w:sz w:val="22"/>
          <w:szCs w:val="22"/>
          <w:u w:val="single"/>
          <w:lang w:val="en-GB" w:eastAsia="en-GB" w:bidi="en-GB"/>
        </w:rPr>
        <w:instrText xml:space="preserve"> HYPERLINK "mailto:payroll@belfastcity.gov.uk" </w:instrText>
      </w:r>
      <w:r>
        <w:rPr>
          <w:rFonts w:ascii="Helvetica" w:hAnsi="Helvetica" w:eastAsia="Helvetica" w:cs="Helvetica"/>
          <w:color w:val="0000FF"/>
          <w:sz w:val="22"/>
          <w:szCs w:val="22"/>
          <w:u w:val="single"/>
          <w:lang w:val="en-GB" w:eastAsia="en-GB" w:bidi="en-GB"/>
        </w:rPr>
        <w:fldChar w:fldCharType="separate"/>
      </w:r>
      <w:r>
        <w:rPr>
          <w:rFonts w:ascii="Helvetica" w:hAnsi="Helvetica" w:eastAsia="Helvetica" w:cs="Helvetica"/>
          <w:color w:val="0000FF"/>
          <w:sz w:val="22"/>
          <w:szCs w:val="22"/>
          <w:u w:val="single"/>
          <w:lang w:val="en-GB" w:eastAsia="en-GB" w:bidi="en-GB"/>
        </w:rPr>
        <w:t xml:space="preserve">payroll@belfastcity.gov.uk</w:t>
      </w:r>
      <w:r>
        <w:rPr>
          <w:rFonts w:ascii="Helvetica" w:hAnsi="Helvetica" w:eastAsia="Helvetica" w:cs="Helvetica"/>
          <w:sz w:val="22"/>
          <w:szCs w:val="22"/>
          <w:lang w:val="en-GB" w:eastAsia="en-GB" w:bidi="en-GB"/>
        </w:rPr>
        <w:fldChar w:fldCharType="end"/>
      </w:r>
      <w:r>
        <w:rPr>
          <w:rFonts w:ascii="Helvetica" w:hAnsi="Helvetica" w:eastAsia="Helvetica" w:cs="Helvetica"/>
          <w:sz w:val="22"/>
          <w:szCs w:val="22"/>
          <w:lang w:val="en-GB" w:eastAsia="en-GB" w:bidi="en-GB"/>
        </w:rPr>
        <w:t xml:space="preserve">).</w:t>
      </w:r>
      <w:r>
        <w:rPr>
          <w:rFonts w:ascii="Helvetica" w:hAnsi="Helvetica" w:eastAsia="Helvetica" w:cs="Helvetica"/>
          <w:i/>
          <w:iCs/>
          <w:sz w:val="22"/>
          <w:szCs w:val="22"/>
          <w:lang w:val="en-GB" w:eastAsia="en-GB" w:bidi="en-GB"/>
        </w:rPr>
        <w:t xml:space="preserve"> </w:t>
      </w:r>
      <w:r>
        <w:rPr>
          <w:rFonts w:ascii="Helvetica" w:hAnsi="Helvetica" w:eastAsia="Helvetica" w:cs="Helvetica"/>
          <w:sz w:val="22"/>
          <w:szCs w:val="22"/>
          <w:lang w:val="en-US" w:eastAsia="en-US" w:bidi="en-US"/>
        </w:rPr>
        <w:t xml:space="preserve">The LGPS (NI) is administered by Northern Ireland Local Government Officers’ Superannuation Committee (NILGOSC) (</w:t>
      </w:r>
      <w:r>
        <w:rPr>
          <w:rFonts w:ascii="Helvetica" w:hAnsi="Helvetica" w:eastAsia="Helvetica" w:cs="Helvetica"/>
          <w:color w:val="0000FF"/>
          <w:sz w:val="22"/>
          <w:szCs w:val="22"/>
          <w:u w:val="single"/>
          <w:lang w:val="en-US" w:eastAsia="en-US" w:bidi="en-US"/>
        </w:rPr>
        <w:fldChar w:fldCharType="begin"/>
      </w:r>
      <w:r>
        <w:rPr>
          <w:rFonts w:ascii="Helvetica" w:hAnsi="Helvetica" w:eastAsia="Helvetica" w:cs="Helvetica"/>
          <w:color w:val="0000FF"/>
          <w:sz w:val="22"/>
          <w:szCs w:val="22"/>
          <w:u w:val="single"/>
          <w:lang w:val="en-US" w:eastAsia="en-US" w:bidi="en-US"/>
        </w:rPr>
        <w:instrText xml:space="preserve"> HYPERLINK "http://www.nilgosc.org.uk" </w:instrText>
      </w:r>
      <w:r>
        <w:rPr>
          <w:rFonts w:ascii="Helvetica" w:hAnsi="Helvetica" w:eastAsia="Helvetica" w:cs="Helvetica"/>
          <w:color w:val="0000FF"/>
          <w:sz w:val="22"/>
          <w:szCs w:val="22"/>
          <w:u w:val="single"/>
          <w:lang w:val="en-US" w:eastAsia="en-US" w:bidi="en-US"/>
        </w:rPr>
        <w:fldChar w:fldCharType="separate"/>
      </w:r>
      <w:r>
        <w:rPr>
          <w:rFonts w:ascii="Helvetica" w:hAnsi="Helvetica" w:eastAsia="Helvetica" w:cs="Helvetica"/>
          <w:color w:val="0000FF"/>
          <w:sz w:val="22"/>
          <w:szCs w:val="22"/>
          <w:u w:val="single"/>
          <w:lang w:val="en-US" w:eastAsia="en-US" w:bidi="en-US"/>
        </w:rPr>
        <w:t xml:space="preserve">www.nilgosc.org.uk</w:t>
      </w:r>
      <w:r>
        <w:rPr>
          <w:rFonts w:ascii="Helvetica" w:hAnsi="Helvetica" w:eastAsia="Helvetica" w:cs="Helvetica"/>
          <w:sz w:val="22"/>
          <w:szCs w:val="22"/>
          <w:lang w:val="en-US" w:eastAsia="en-US" w:bidi="en-US"/>
        </w:rPr>
        <w:fldChar w:fldCharType="end"/>
      </w:r>
      <w:r>
        <w:rPr>
          <w:rFonts w:ascii="Helvetica" w:hAnsi="Helvetica" w:eastAsia="Helvetica" w:cs="Helvetica"/>
          <w:sz w:val="22"/>
          <w:szCs w:val="22"/>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i/>
          <w:i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Uniform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Uniform clothing will be issued by the relevant department.  The wearing of such uniform clothing will be a pre-requisite of appointment and it must only be worn whilst on duty.  Only in exceptional circumstances will items be replaced.  All items of clothing and other issued equipment will remain the property of the relevant department.  Facilities for changing and storage will be available.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Canvassing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The minimum period of notice to be given by you shall normally be the ordinary period from one payment of salary or wages to the next.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Belfast City Council may terminate your employment with the council by giving the following period of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tbl>
      <w:tblPr>
        <w:tblW w:w="0" w:type="auto"/>
        <w:jc w:val="left"/>
        <w:tblInd w:w="0" w:type="dxa"/>
        <w:tblBorders>
          <w:top w:val="none"/>
          <w:left w:val="none"/>
          <w:bottom w:val="none"/>
          <w:right w:val="none"/>
          <w:insideH w:val="none"/>
          <w:insideV w:val="none"/>
        </w:tblBorders>
        <w:tblLayout w:type="fixed"/>
        <w:tblCellMar>
          <w:top w:w="0" w:type="dxa"/>
          <w:left w:w="108" w:type="dxa"/>
          <w:bottom w:w="0" w:type="dxa"/>
          <w:right w:w="108" w:type="dxa"/>
        </w:tblCellMar>
      </w:tblPr>
      <w:tblGrid>
        <w:gridCol w:w="4788"/>
        <w:gridCol w:w="4320"/>
      </w:tblGrid>
      <w:tr>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Continuous service</w:t>
            </w:r>
          </w:p>
        </w:tc>
        <w:tc>
          <w:tcPr>
            <w:tcW w:w="432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Period of notice</w:t>
            </w:r>
          </w:p>
        </w:tc>
      </w:tr>
      <w:tr>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u w:val="single"/>
                <w:lang w:val="en-GB" w:eastAsia="en-GB" w:bidi="en-GB"/>
              </w:rPr>
            </w:pPr>
            <w:r>
              <w:rPr>
                <w:rFonts w:ascii="Helvetica" w:hAnsi="Helvetica" w:eastAsia="Helvetica" w:cs="Helvetica"/>
                <w:sz w:val="22"/>
                <w:szCs w:val="22"/>
                <w:lang w:val="en-GB" w:eastAsia="en-GB" w:bidi="en-GB"/>
              </w:rPr>
              <w:t xml:space="preserve">One month or more but less than two years</w:t>
            </w:r>
          </w:p>
        </w:tc>
        <w:tc>
          <w:tcPr>
            <w:tcW w:w="432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Not less than one week</w:t>
            </w:r>
          </w:p>
        </w:tc>
      </w:tr>
      <w:tr>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tc>
        <w:tc>
          <w:tcPr>
            <w:tcW w:w="432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tc>
      </w:tr>
      <w:tr>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Two years or more but less than twelve years</w:t>
            </w:r>
          </w:p>
        </w:tc>
        <w:tc>
          <w:tcPr>
            <w:tcW w:w="432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Not less than one week for each year of continuous service</w:t>
            </w:r>
          </w:p>
        </w:tc>
      </w:tr>
      <w:tr>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tc>
        <w:tc>
          <w:tcPr>
            <w:tcW w:w="432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tc>
      </w:tr>
      <w:tr>
        <w:tc>
          <w:tcPr>
            <w:tcW w:w="478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12 years or more</w:t>
            </w:r>
          </w:p>
        </w:tc>
        <w:tc>
          <w:tcPr>
            <w:tcW w:w="432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Not less than 12 weeks</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u w:val="single"/>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If applicable, if you are a permanent Belfast City Council employee being appointed to a fixed term contract on a temporary basis, it is usual to give one week’s notice to terminate this temporary project/ cover/ review post arrangement.  Your statutory notice periods which relate to your substantive post with the council remain unchanged.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Probationary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You may be required to complete a six-month probationary period, if this is a requirement of the relevant department, and during this time one week’s notice will be given by the council to terminate employment.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b/>
          <w:bCs/>
          <w:sz w:val="22"/>
          <w:szCs w:val="22"/>
          <w:lang w:val="en-GB" w:eastAsia="en-GB" w:bidi="en-GB"/>
        </w:rPr>
        <w:t xml:space="preserve">Interview expenses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Reimbursement of interview expenses is not available.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Receipt of applications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sz w:val="22"/>
          <w:szCs w:val="22"/>
          <w:lang w:val="en-GB" w:eastAsia="en-GB" w:bidi="en-GB"/>
        </w:rPr>
        <w:t xml:space="preserve">Completed applications must be submitted online before 12 midnight on </w:t>
      </w:r>
      <w:r>
        <w:rPr>
          <w:rFonts w:ascii="Helvetica" w:hAnsi="Helvetica" w:eastAsia="Helvetica" w:cs="Helvetica"/>
          <w:b/>
          <w:bCs/>
          <w:sz w:val="22"/>
          <w:szCs w:val="22"/>
          <w:lang w:val="en-GB" w:eastAsia="en-GB" w:bidi="en-GB"/>
        </w:rPr>
        <w:t xml:space="preserve">Tuesday,  1 September 2026.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b/>
          <w:bCs/>
          <w:sz w:val="22"/>
          <w:szCs w:val="22"/>
          <w:lang w:val="en-GB" w:eastAsia="en-GB" w:bidi="en-GB"/>
        </w:rPr>
      </w:pPr>
      <w:r>
        <w:rPr>
          <w:rFonts w:ascii="Helvetica" w:hAnsi="Helvetica" w:eastAsia="Helvetica" w:cs="Helvetica"/>
          <w:sz w:val="22"/>
          <w:szCs w:val="22"/>
          <w:lang w:val="en-GB" w:eastAsia="en-GB" w:bidi="en-GB"/>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Pr>
          <w:rFonts w:ascii="Helvetica" w:hAnsi="Helvetica" w:eastAsia="Helvetica" w:cs="Helvetica"/>
          <w:b/>
          <w:bCs/>
          <w:sz w:val="22"/>
          <w:szCs w:val="22"/>
          <w:lang w:val="en-GB" w:eastAsia="en-GB" w:bidi="en-GB"/>
        </w:rPr>
        <w:t xml:space="preserve">No hard copy application forms for this post can be issued or received either by post or by hand-delivery.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b/>
          <w:bCs/>
          <w:sz w:val="22"/>
          <w:szCs w:val="22"/>
          <w:lang w:val="en-GB" w:eastAsia="en-GB" w:bidi="en-GB"/>
        </w:rPr>
      </w:pPr>
      <w:r>
        <w:rPr>
          <w:rFonts w:ascii="Helvetica" w:hAnsi="Helvetica" w:eastAsia="Helvetica" w:cs="Helvetica"/>
          <w:b/>
          <w:bCs/>
          <w:sz w:val="22"/>
          <w:szCs w:val="22"/>
          <w:lang w:val="en-GB" w:eastAsia="en-GB" w:bidi="en-GB"/>
        </w:rPr>
        <w:t xml:space="preserve">Short-listing and interview 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It is envisaged that </w:t>
      </w:r>
      <w:r>
        <w:rPr>
          <w:rFonts w:ascii="Helvetica" w:hAnsi="Helvetica" w:eastAsia="Helvetica" w:cs="Helvetica"/>
          <w:b/>
          <w:bCs/>
          <w:sz w:val="22"/>
          <w:szCs w:val="22"/>
          <w:lang w:val="en-GB" w:eastAsia="en-GB" w:bidi="en-GB"/>
        </w:rPr>
        <w:t xml:space="preserve">short-listing</w:t>
      </w:r>
      <w:r>
        <w:rPr>
          <w:rFonts w:ascii="Helvetica" w:hAnsi="Helvetica" w:eastAsia="Helvetica" w:cs="Helvetica"/>
          <w:sz w:val="22"/>
          <w:szCs w:val="22"/>
          <w:lang w:val="en-GB" w:eastAsia="en-GB" w:bidi="en-GB"/>
        </w:rPr>
        <w:t xml:space="preserve"> for this post will take place on </w:t>
      </w:r>
      <w:r>
        <w:rPr>
          <w:rFonts w:ascii="Helvetica" w:hAnsi="Helvetica" w:eastAsia="Helvetica" w:cs="Helvetica"/>
          <w:b/>
          <w:bCs/>
          <w:sz w:val="22"/>
          <w:szCs w:val="22"/>
          <w:lang w:val="en-GB" w:eastAsia="en-GB" w:bidi="en-GB"/>
        </w:rPr>
        <w:t xml:space="preserve">Thursday, 17 September 2026</w:t>
      </w:r>
      <w:r>
        <w:rPr>
          <w:rFonts w:ascii="Helvetica" w:hAnsi="Helvetica" w:eastAsia="Helvetica" w:cs="Helvetica"/>
          <w:sz w:val="22"/>
          <w:szCs w:val="22"/>
          <w:lang w:val="en-GB" w:eastAsia="en-GB" w:bidi="en-GB"/>
        </w:rPr>
        <w:t xml:space="preserve">.  While no specific testing or assessment arrangements are anticipated for this post, depending on the volume of applicants, the council reserves the right to include these mechanisms as part of the selection process. It is also envisaged that interviews will be held </w:t>
      </w:r>
      <w:r>
        <w:rPr>
          <w:rFonts w:ascii="Helvetica" w:hAnsi="Helvetica" w:eastAsia="Helvetica" w:cs="Helvetica"/>
          <w:b/>
          <w:bCs/>
          <w:sz w:val="22"/>
          <w:szCs w:val="22"/>
          <w:lang w:val="en-GB" w:eastAsia="en-GB" w:bidi="en-GB"/>
        </w:rPr>
        <w:t xml:space="preserve">via MS Teams</w:t>
      </w:r>
      <w:r>
        <w:rPr>
          <w:rFonts w:ascii="Helvetica" w:hAnsi="Helvetica" w:eastAsia="Helvetica" w:cs="Helvetica"/>
          <w:sz w:val="22"/>
          <w:szCs w:val="22"/>
          <w:lang w:val="en-GB" w:eastAsia="en-GB" w:bidi="en-GB"/>
        </w:rPr>
        <w:t xml:space="preserve"> </w:t>
      </w:r>
      <w:r>
        <w:rPr>
          <w:rFonts w:ascii="Helvetica" w:hAnsi="Helvetica" w:eastAsia="Helvetica" w:cs="Helvetica"/>
          <w:b/>
          <w:bCs/>
          <w:sz w:val="22"/>
          <w:szCs w:val="22"/>
          <w:lang w:val="en-GB" w:eastAsia="en-GB" w:bidi="en-GB"/>
        </w:rPr>
        <w:t xml:space="preserve">on</w:t>
      </w:r>
      <w:r>
        <w:rPr>
          <w:rFonts w:ascii="Helvetica" w:hAnsi="Helvetica" w:eastAsia="Helvetica" w:cs="Helvetica"/>
          <w:sz w:val="22"/>
          <w:szCs w:val="22"/>
          <w:lang w:val="en-GB" w:eastAsia="en-GB" w:bidi="en-GB"/>
        </w:rPr>
        <w:t xml:space="preserve"> </w:t>
      </w:r>
      <w:r>
        <w:rPr>
          <w:rFonts w:ascii="Helvetica" w:hAnsi="Helvetica" w:eastAsia="Helvetica" w:cs="Helvetica"/>
          <w:b/>
          <w:bCs/>
          <w:sz w:val="22"/>
          <w:szCs w:val="22"/>
          <w:lang w:val="en-GB" w:eastAsia="en-GB" w:bidi="en-GB"/>
        </w:rPr>
        <w:t xml:space="preserve">Wednesday 23 and, or Thursday 24 September 2026. </w:t>
      </w:r>
      <w:r>
        <w:rPr>
          <w:rFonts w:ascii="Helvetica" w:hAnsi="Helvetica" w:eastAsia="Helvetica" w:cs="Helvetica"/>
          <w:sz w:val="22"/>
          <w:szCs w:val="22"/>
          <w:lang w:val="en-GB" w:eastAsia="en-GB" w:bidi="en-GB"/>
        </w:rPr>
        <w:t xml:space="preserve">Applicants short-listed to attend for the interview should ensure that they are available to attend on any of these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Helvetica" w:hAnsi="Helvetica" w:eastAsia="Helvetica" w:cs="Helvetica"/>
          <w:sz w:val="22"/>
          <w:szCs w:val="22"/>
          <w:lang w:val="en-GB" w:eastAsia="en-GB" w:bidi="en-GB"/>
        </w:rPr>
      </w:pPr>
      <w:r>
        <w:rPr>
          <w:rFonts w:ascii="Helvetica" w:hAnsi="Helvetica" w:eastAsia="Helvetica" w:cs="Helvetica"/>
          <w:sz w:val="22"/>
          <w:szCs w:val="22"/>
          <w:lang w:val="en-GB" w:eastAsia="en-GB" w:bidi="en-GB"/>
        </w:rPr>
        <w:t xml:space="preserve">The council will make all reasonable efforts to accommodate applicants who are unavailable on the specified interview date but it is under no obligation to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sectPr>
      <w:footerReference w:type="default" r:id="rId00006"/>
      <w:pgSz w:w="11906" w:h="16838"/>
      <w:pgMar w:top="1135" w:right="1134" w:bottom="977" w:left="1080" w:header="709" w:footer="709"/>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Helvetica">
    <w:panose1 w:val="020B0604020202020204"/>
    <w:charset w:val="00"/>
    <w:family w:val="swiss"/>
    <w:pitch w:val="variable"/>
    <w:sig w:usb0="E0002EFF" w:usb1="C000785B" w:usb2="00000009" w:usb3="00000000" w:csb0="400001FF" w:csb1="FFFF0000"/>
  </w:font>
  <w:font w:name="Palatino">
    <w:charset w:val="00"/>
    <w:family w:val="roman"/>
    <w:pitch w:val="variable"/>
  </w:font>
  <w:font w:name="Segoe UI">
    <w:panose1 w:val="020B0502040204020203"/>
    <w:charset w:val="00"/>
    <w:family w:val="swiss"/>
    <w:pitch w:val="variable"/>
    <w:sig w:usb0="E4002EFF" w:usb1="C000E47F" w:usb2="00000009" w:usb3="00000000" w:csb0="200001FF" w:csb1="00000000"/>
  </w:font>
  <w:font w:name="Calibri">
    <w:panose1 w:val="020F0502020204030204"/>
    <w:charset w:val="00"/>
    <w:family w:val="swiss"/>
    <w:pitch w:val="variable"/>
    <w:sig w:usb0="E4002EFF" w:usb1="C000247B" w:usb2="00000009" w:usb3="00000000" w:csb0="200001F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tabs>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jc w:val="center"/>
      <w:rPr>
        <w:rStyle w:val="PageNumber"/>
        <w:rFonts w:ascii="Helvetica" w:hAnsi="Helvetica" w:eastAsia="Helvetica" w:cs="Helvetica"/>
        <w:sz w:val="16"/>
        <w:szCs w:val="16"/>
        <w:lang w:val="en-GB" w:eastAsia="en-GB" w:bidi="en-GB"/>
      </w:rPr>
    </w:pPr>
    <w:r>
      <w:rPr>
        <w:rStyle w:val="PageNumber"/>
        <w:rFonts w:ascii="Helvetica" w:hAnsi="Helvetica" w:eastAsia="Helvetica" w:cs="Helvetica"/>
        <w:noProof/>
        <w:sz w:val="16"/>
        <w:szCs w:val="16"/>
        <w:lang w:val="en-GB" w:eastAsia="en-GB" w:bidi="en-GB"/>
      </w:rPr>
      <w:fldChar w:fldCharType="begin"/>
    </w:r>
    <w:r>
      <w:rPr>
        <w:rStyle w:val="PageNumber"/>
        <w:rFonts w:ascii="Helvetica" w:hAnsi="Helvetica" w:eastAsia="Helvetica" w:cs="Helvetica"/>
        <w:noProof/>
        <w:sz w:val="16"/>
        <w:szCs w:val="16"/>
        <w:lang w:val="en-GB" w:eastAsia="en-GB" w:bidi="en-GB"/>
      </w:rPr>
      <w:instrText xml:space="preserve"> PAGE \* Arabic \* MERGEFORMAT </w:instrText>
    </w:r>
    <w:r>
      <w:rPr>
        <w:rStyle w:val="PageNumber"/>
        <w:rFonts w:ascii="Helvetica" w:hAnsi="Helvetica" w:eastAsia="Helvetica" w:cs="Helvetica"/>
        <w:noProof/>
        <w:sz w:val="16"/>
        <w:szCs w:val="16"/>
        <w:lang w:val="en-GB" w:eastAsia="en-GB" w:bidi="en-GB"/>
      </w:rPr>
      <w:fldChar w:fldCharType="separate"/>
    </w:r>
    <w:r>
      <w:rPr>
        <w:rStyle w:val="PageNumber"/>
        <w:rFonts w:ascii="Helvetica" w:hAnsi="Helvetica" w:eastAsia="Helvetica" w:cs="Helvetica"/>
        <w:noProof/>
        <w:sz w:val="16"/>
        <w:szCs w:val="16"/>
        <w:lang w:val="en-GB" w:eastAsia="en-GB" w:bidi="en-GB"/>
      </w:rPr>
      <w:t xml:space="preserve">5</w:t>
    </w:r>
    <w:r>
      <w:rPr>
        <w:rStyle w:val="PageNumber"/>
        <w:rFonts w:ascii="Helvetica" w:hAnsi="Helvetica" w:eastAsia="Helvetica" w:cs="Helvetica"/>
        <w:sz w:val="16"/>
        <w:szCs w:val="16"/>
        <w:lang w:val="en-GB" w:eastAsia="en-GB" w:bidi="en-GB"/>
      </w:rPr>
      <w:fldChar w:fldCharType="end"/>
    </w:r>
  </w:p>
</w:ftr>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r>
        <w:rPr>
          <w:rStyle w:val="FootnoteReference"/>
          <w:lang w:val="en-GB" w:eastAsia="en-GB" w:bidi="en-GB"/>
        </w:rPr>
        <w:footnoteRef w:id="1"/>
      </w:r>
      <w:r>
        <w:rPr>
          <w:lang w:val="en-GB" w:eastAsia="en-GB" w:bidi="en-GB"/>
        </w:rPr>
        <w:t xml:space="preserve"> </w:t>
      </w:r>
      <w:r>
        <w:rPr>
          <w:rFonts w:ascii="Helvetica" w:hAnsi="Helvetica" w:eastAsia="Helvetica" w:cs="Helvetica"/>
          <w:sz w:val="18"/>
          <w:szCs w:val="18"/>
          <w:lang w:val="en-GB" w:eastAsia="en-GB" w:bidi="en-GB"/>
        </w:rPr>
        <w:t xml:space="preserve">Please note: if you are appointed to a post on a temporary or fixed term contract basis, there </w:t>
      </w:r>
      <w:r>
        <w:rPr>
          <w:rFonts w:ascii="Helvetica" w:hAnsi="Helvetica" w:eastAsia="Helvetica" w:cs="Helvetica"/>
          <w:b/>
          <w:bCs/>
          <w:sz w:val="18"/>
          <w:szCs w:val="18"/>
          <w:lang w:val="en-GB" w:eastAsia="en-GB" w:bidi="en-GB"/>
        </w:rPr>
        <w:t xml:space="preserve">may</w:t>
      </w:r>
      <w:r>
        <w:rPr>
          <w:rFonts w:ascii="Helvetica" w:hAnsi="Helvetica" w:eastAsia="Helvetica" w:cs="Helvetica"/>
          <w:sz w:val="18"/>
          <w:szCs w:val="18"/>
          <w:lang w:val="en-GB" w:eastAsia="en-GB" w:bidi="en-GB"/>
        </w:rPr>
        <w:t xml:space="preserve"> be the potential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 </w:t>
      </w:r>
    </w:p>
    <w:p>
      <w:pPr>
        <w:pStyle w:val="Footnot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Helvetica" w:hAnsi="Helvetica" w:eastAsia="Helvetica" w:cs="Helvetica"/>
          <w:sz w:val="22"/>
          <w:szCs w:val="22"/>
          <w:lang w:val="en-GB" w:eastAsia="en-GB" w:bidi="en-GB"/>
        </w:rPr>
      </w:pPr>
    </w:p>
  </w:footnote>
</w:footnotes>
</file>

<file path=word/numbering.xml><?xml version="1.0" encoding="utf-8"?>
<w:numbering xmlns:w="http://schemas.openxmlformats.org/wordprocessingml/2006/main">
  <w:abstractNum w:abstractNumId="0">
    <w:multiLevelType w:val="singleLevel"/>
    <w:lvl w:ilvl="0">
      <w:start w:val="1"/>
      <w:numFmt w:val="decimal"/>
      <w:suff w:val="tab"/>
      <w:lvlText w:val="%1."/>
      <w:pPr>
        <w:ind w:left="360" w:hanging="360"/>
        <w:tabs>
          <w:tab w:val="num" w:pos="360"/>
        </w:tabs>
      </w:pPr>
      <w:rPr>
        <w:rFonts w:hint="default" w:ascii="Helvetica" w:hAnsi="Helvetica" w:eastAsia="Helvetica" w:cs="Helvetica"/>
        <w:b w:val="off"/>
        <w:i w:val="off"/>
        <w:strike w:val="off"/>
        <w:color w:val="auto"/>
        <w:position w:val="0"/>
        <w:sz w:val="22"/>
        <w:u w:val="none"/>
        <w:shd w:val="clear" w:color="auto" w:fill="auto"/>
      </w:rPr>
    </w:lvl>
  </w:abstractNum>
  <w:abstractNum w:abstractNumId="1">
    <w:multiLevelType w:val="singleLevel"/>
    <w:lvl w:ilvl="0">
      <w:start w:val="1"/>
      <w:numFmt w:val="lowerLetter"/>
      <w:suff w:val="tab"/>
      <w:lvlText w:val="(%1)"/>
      <w:pPr>
        <w:ind w:left="426" w:hanging="426"/>
        <w:tabs>
          <w:tab w:val="num" w:pos="426"/>
        </w:tabs>
      </w:pPr>
      <w:rPr>
        <w:rFonts w:hint="default" w:ascii="Helvetica" w:hAnsi="Helvetica" w:eastAsia="Helvetica" w:cs="Helvetica"/>
        <w:b w:val="off"/>
        <w:i w:val="off"/>
        <w:strike w:val="off"/>
        <w:color w:val="auto"/>
        <w:position w:val="0"/>
        <w:sz w:val="22"/>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footnotePr>
    <w:footnote w:id="-1"/>
    <w:footnote w:id="0"/>
  </w:footnotePr>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imes New Roman" w:hAnsi="Times New Roman" w:eastAsia="Times New Roman" w:cs="Times New Roman"/>
      <w:b w:val="off"/>
      <w:bCs w:val="off"/>
      <w:i w:val="off"/>
      <w:iCs w:val="off"/>
      <w:caps w:val="off"/>
      <w:smallCaps w:val="off"/>
      <w:strike w:val="off"/>
      <w:color w:val="auto"/>
      <w:spacing w:val="0"/>
      <w:w w:val="100"/>
      <w:position w:val="0"/>
      <w:sz w:val="24"/>
      <w:szCs w:val="24"/>
      <w:shd w:val="clear" w:color="auto" w:fill="auto"/>
      <w:vertAlign w:val="baseline"/>
      <w:rtl w:val="off"/>
      <w:lang w:val="en-GB" w:eastAsia="en-GB" w:bidi="en-GB"/>
    </w:rPr>
  </w:style>
  <w:style w:type="character" w:styleId="PageNumber">
    <w:name w:val="page number"/>
    <w:qFormat/>
    <w:rPr>
      <w:rtl w:val="off"/>
    </w:rPr>
  </w:style>
  <w:style w:type="paragraph" w:styleId="Footer">
    <w:name w:val="footer"/>
    <w:basedOn w:val="Normal"/>
    <w:next w:val="Footer"/>
    <w:qFormat/>
    <w:pPr>
      <w:tabs>
        <w:tab w:val="center" w:pos="4153"/>
        <w:tab w:val="right" w:pos="8306"/>
      </w:tabs>
    </w:pPr>
    <w:rPr>
      <w:lang w:val="en-GB" w:eastAsia="en-GB" w:bidi="en-GB"/>
    </w:rPr>
  </w:style>
  <w:style w:type="character" w:styleId="FootnoteReference">
    <w:name w:val="footnote reference"/>
    <w:qFormat/>
    <w:rPr>
      <w:vertAlign w:val="superscript"/>
      <w:rtl w:val="off"/>
    </w:rPr>
  </w:style>
  <w:style w:type="paragraph" w:styleId="ListParagraph">
    <w:name w:val="List Paragraph"/>
    <w:basedOn w:val="Normal"/>
    <w:next w:val="ListParagraph"/>
    <w:qFormat/>
    <w:pPr>
      <w:ind w:left="720"/>
    </w:pPr>
    <w:rPr>
      <w:lang w:val="en-GB" w:eastAsia="en-GB" w:bidi="en-GB"/>
    </w:rPr>
  </w:style>
  <w:style w:type="paragraph" w:styleId="FootnoteText">
    <w:name w:val="footnote text"/>
    <w:basedOn w:val="Normal"/>
    <w:next w:val="FootnoteText"/>
    <w:qFormat/>
    <w:pPr/>
    <w:rPr>
      <w:sz w:val="20"/>
      <w:szCs w:val="20"/>
      <w:lang w:val="en-GB" w:eastAsia="en-GB" w:bidi="en-GB"/>
    </w:rPr>
  </w:style>
  <w:style w:type="paragraph" w:styleId="Heading1">
    <w:name w:val="heading 1"/>
    <w:basedOn w:val="Normal"/>
    <w:next w:val="Normal"/>
    <w:qFormat/>
    <w:pPr>
      <w:keepNext/>
      <w:spacing w:line="360" w:lineRule="auto"/>
      <w:jc w:val="center"/>
      <w:outlineLvl w:val="0"/>
    </w:pPr>
    <w:rPr>
      <w:b/>
      <w:bCs/>
      <w:sz w:val="36"/>
      <w:szCs w:val="36"/>
      <w:lang w:val="en-GB" w:eastAsia="en-GB" w:bidi="en-GB"/>
    </w:rPr>
  </w:style>
  <w:style w:type="paragraph" w:styleId="Style Heading 1 + Justified" w:customStyle="1">
    <w:name w:val="Style Heading 1 + Justified"/>
    <w:basedOn w:val="Heading1"/>
    <w:next w:val="Style Heading 1 + Justified"/>
    <w:qFormat/>
    <w:pPr>
      <w:spacing w:before="240" w:after="60"/>
    </w:pPr>
    <w:rPr>
      <w:lang w:val="en-GB" w:eastAsia="en-GB" w:bidi="en-GB"/>
    </w:rPr>
  </w:style>
  <w:style w:type="paragraph" w:styleId="Style Heading 1 + Helvetica Justified" w:customStyle="1">
    <w:name w:val="Style Heading 1 + Helvetica Justified"/>
    <w:basedOn w:val="Heading1"/>
    <w:next w:val="Style Heading 1 + Helvetica Justified"/>
    <w:qFormat/>
    <w:pPr>
      <w:jc w:val="both"/>
    </w:pPr>
    <w:rPr>
      <w:rFonts w:ascii="Helvetica" w:hAnsi="Helvetica" w:eastAsia="Helvetica" w:cs="Helvetica"/>
      <w:lang w:val="en-GB" w:eastAsia="en-GB" w:bidi="en-GB"/>
    </w:rPr>
  </w:style>
  <w:style w:type="paragraph" w:styleId="Heading2">
    <w:name w:val="heading 2"/>
    <w:basedOn w:val="Normal"/>
    <w:next w:val="Normal"/>
    <w:qFormat/>
    <w:pPr>
      <w:keepNext/>
      <w:outlineLvl w:val="1"/>
    </w:pPr>
    <w:rPr>
      <w:b/>
      <w:bCs/>
      <w:sz w:val="28"/>
      <w:szCs w:val="28"/>
      <w:lang w:val="en-GB" w:eastAsia="en-GB" w:bidi="en-GB"/>
    </w:rPr>
  </w:style>
  <w:style w:type="paragraph" w:styleId="Heading3">
    <w:name w:val="heading 3"/>
    <w:basedOn w:val="Normal"/>
    <w:next w:val="Normal"/>
    <w:qFormat/>
    <w:pPr>
      <w:keepNext/>
      <w:outlineLvl w:val="2"/>
    </w:pPr>
    <w:rPr>
      <w:b/>
      <w:bCs/>
      <w:lang w:val="en-GB" w:eastAsia="en-GB" w:bidi="en-GB"/>
    </w:rPr>
  </w:style>
  <w:style w:type="paragraph" w:styleId="Heading4">
    <w:name w:val="heading 4"/>
    <w:basedOn w:val="Normal"/>
    <w:next w:val="Normal"/>
    <w:qFormat/>
    <w:pPr>
      <w:keepNext/>
      <w:outlineLvl w:val="3"/>
    </w:pPr>
    <w:rPr>
      <w:i/>
      <w:iCs/>
      <w:lang w:val="en-GB" w:eastAsia="en-GB" w:bidi="en-GB"/>
    </w:rPr>
  </w:style>
  <w:style w:type="paragraph" w:styleId="Heading5">
    <w:name w:val="heading 5"/>
    <w:basedOn w:val="Normal"/>
    <w:next w:val="Normal"/>
    <w:qFormat/>
    <w:pPr>
      <w:keepNext/>
      <w:outlineLvl w:val="4"/>
    </w:pPr>
    <w:rPr>
      <w:b/>
      <w:bCs/>
      <w:lang w:val="en-GB" w:eastAsia="en-GB" w:bidi="en-GB"/>
    </w:rPr>
  </w:style>
  <w:style w:type="paragraph" w:styleId="Heading6">
    <w:name w:val="heading 6"/>
    <w:basedOn w:val="Normal"/>
    <w:next w:val="Normal"/>
    <w:qFormat/>
    <w:pPr>
      <w:keepNext/>
      <w:jc w:val="center"/>
      <w:outlineLvl w:val="5"/>
    </w:pPr>
    <w:rPr>
      <w:b/>
      <w:bCs/>
      <w:lang w:val="en-GB" w:eastAsia="en-GB" w:bidi="en-GB"/>
    </w:rPr>
  </w:style>
  <w:style w:type="paragraph" w:styleId="Heading7">
    <w:name w:val="heading 7"/>
    <w:basedOn w:val="Normal"/>
    <w:next w:val="Normal"/>
    <w:qFormat/>
    <w:pPr>
      <w:keepNext/>
      <w:outlineLvl w:val="6"/>
    </w:pPr>
    <w:rPr>
      <w:sz w:val="28"/>
      <w:szCs w:val="28"/>
      <w:lang w:val="en-GB" w:eastAsia="en-GB" w:bidi="en-GB"/>
    </w:rPr>
  </w:style>
  <w:style w:type="paragraph" w:styleId="Heading8">
    <w:name w:val="heading 8"/>
    <w:basedOn w:val="Normal"/>
    <w:next w:val="Normal"/>
    <w:qFormat/>
    <w:pPr>
      <w:keepNext/>
      <w:spacing w:line="360" w:lineRule="auto"/>
      <w:ind w:left="284"/>
      <w:outlineLvl w:val="7"/>
    </w:pPr>
    <w:rPr>
      <w:b/>
      <w:bCs/>
      <w:lang w:val="en-GB" w:eastAsia="en-GB" w:bidi="en-GB"/>
    </w:rPr>
  </w:style>
  <w:style w:type="paragraph" w:styleId="Heading9">
    <w:name w:val="heading 9"/>
    <w:basedOn w:val="Normal"/>
    <w:next w:val="Normal"/>
    <w:qFormat/>
    <w:pPr>
      <w:keepNext/>
      <w:tabs>
        <w:tab w:val="left" w:pos="3261"/>
        <w:tab w:val="left" w:pos="8080"/>
      </w:tabs>
      <w:ind w:right="613"/>
      <w:outlineLvl w:val="8"/>
    </w:pPr>
    <w:rPr>
      <w:sz w:val="96"/>
      <w:szCs w:val="96"/>
      <w:lang w:val="en-GB" w:eastAsia="en-GB" w:bidi="en-GB"/>
    </w:rPr>
  </w:style>
  <w:style w:type="paragraph" w:styleId="Header">
    <w:name w:val="header"/>
    <w:basedOn w:val="Normal"/>
    <w:next w:val="Header"/>
    <w:qFormat/>
    <w:pPr>
      <w:tabs>
        <w:tab w:val="center" w:pos="4153"/>
        <w:tab w:val="right" w:pos="8306"/>
      </w:tabs>
    </w:pPr>
    <w:rPr>
      <w:lang w:val="en-GB" w:eastAsia="en-GB" w:bidi="en-GB"/>
    </w:rPr>
  </w:style>
  <w:style w:type="paragraph" w:styleId="TOC1">
    <w:name w:val="toc 1"/>
    <w:basedOn w:val="Normal"/>
    <w:next w:val="Normal"/>
    <w:qFormat/>
    <w:pPr>
      <w:tabs>
        <w:tab w:val="right" w:leader="dot" w:pos="8693"/>
      </w:tabs>
    </w:pPr>
    <w:rPr>
      <w:b/>
      <w:bCs/>
      <w:lang w:val="en-GB" w:eastAsia="en-GB" w:bidi="en-GB"/>
    </w:rPr>
  </w:style>
  <w:style w:type="paragraph" w:styleId="TOC2">
    <w:name w:val="toc 2"/>
    <w:basedOn w:val="Normal"/>
    <w:next w:val="Normal"/>
    <w:qFormat/>
    <w:pPr>
      <w:tabs>
        <w:tab w:val="right" w:leader="dot" w:pos="8693"/>
      </w:tabs>
      <w:ind w:left="240"/>
    </w:pPr>
    <w:rPr>
      <w:b/>
      <w:bCs/>
      <w:sz w:val="22"/>
      <w:szCs w:val="22"/>
      <w:lang w:val="en-GB" w:eastAsia="en-GB" w:bidi="en-GB"/>
    </w:rPr>
  </w:style>
  <w:style w:type="paragraph" w:styleId="TOC3">
    <w:name w:val="toc 3"/>
    <w:basedOn w:val="Normal"/>
    <w:next w:val="Normal"/>
    <w:qFormat/>
    <w:pPr>
      <w:tabs>
        <w:tab w:val="right" w:leader="dot" w:pos="8693"/>
      </w:tabs>
      <w:ind w:left="480"/>
    </w:pPr>
    <w:rPr>
      <w:sz w:val="20"/>
      <w:szCs w:val="20"/>
      <w:lang w:val="en-GB" w:eastAsia="en-GB" w:bidi="en-GB"/>
    </w:rPr>
  </w:style>
  <w:style w:type="paragraph" w:styleId="TOC4">
    <w:name w:val="toc 4"/>
    <w:basedOn w:val="Normal"/>
    <w:next w:val="Normal"/>
    <w:qFormat/>
    <w:pPr>
      <w:tabs>
        <w:tab w:val="right" w:leader="dot" w:pos="8693"/>
      </w:tabs>
      <w:ind w:left="720"/>
    </w:pPr>
    <w:rPr>
      <w:sz w:val="20"/>
      <w:szCs w:val="20"/>
      <w:lang w:val="en-GB" w:eastAsia="en-GB" w:bidi="en-GB"/>
    </w:rPr>
  </w:style>
  <w:style w:type="paragraph" w:styleId="TOC5">
    <w:name w:val="toc 5"/>
    <w:basedOn w:val="Normal"/>
    <w:next w:val="Normal"/>
    <w:qFormat/>
    <w:pPr>
      <w:tabs>
        <w:tab w:val="right" w:leader="underscore" w:pos="8693"/>
      </w:tabs>
      <w:ind w:left="960"/>
    </w:pPr>
    <w:rPr>
      <w:sz w:val="20"/>
      <w:szCs w:val="20"/>
      <w:lang w:val="en-GB" w:eastAsia="en-GB" w:bidi="en-GB"/>
    </w:rPr>
  </w:style>
  <w:style w:type="paragraph" w:styleId="TOC6">
    <w:name w:val="toc 6"/>
    <w:basedOn w:val="Normal"/>
    <w:next w:val="Normal"/>
    <w:qFormat/>
    <w:pPr>
      <w:tabs>
        <w:tab w:val="right" w:leader="underscore" w:pos="8693"/>
      </w:tabs>
      <w:ind w:left="1200"/>
    </w:pPr>
    <w:rPr>
      <w:sz w:val="20"/>
      <w:szCs w:val="20"/>
      <w:lang w:val="en-GB" w:eastAsia="en-GB" w:bidi="en-GB"/>
    </w:rPr>
  </w:style>
  <w:style w:type="paragraph" w:styleId="TOC7">
    <w:name w:val="toc 7"/>
    <w:basedOn w:val="Normal"/>
    <w:next w:val="Normal"/>
    <w:qFormat/>
    <w:pPr>
      <w:tabs>
        <w:tab w:val="right" w:leader="underscore" w:pos="8693"/>
      </w:tabs>
      <w:ind w:left="1440"/>
    </w:pPr>
    <w:rPr>
      <w:sz w:val="20"/>
      <w:szCs w:val="20"/>
      <w:lang w:val="en-GB" w:eastAsia="en-GB" w:bidi="en-GB"/>
    </w:rPr>
  </w:style>
  <w:style w:type="paragraph" w:styleId="TOC8">
    <w:name w:val="toc 8"/>
    <w:basedOn w:val="Normal"/>
    <w:next w:val="Normal"/>
    <w:qFormat/>
    <w:pPr>
      <w:tabs>
        <w:tab w:val="right" w:leader="underscore" w:pos="8693"/>
      </w:tabs>
      <w:ind w:left="1680"/>
    </w:pPr>
    <w:rPr>
      <w:sz w:val="20"/>
      <w:szCs w:val="20"/>
      <w:lang w:val="en-GB" w:eastAsia="en-GB" w:bidi="en-GB"/>
    </w:rPr>
  </w:style>
  <w:style w:type="paragraph" w:styleId="TOC9">
    <w:name w:val="toc 9"/>
    <w:basedOn w:val="Normal"/>
    <w:next w:val="Normal"/>
    <w:qFormat/>
    <w:pPr>
      <w:tabs>
        <w:tab w:val="right" w:leader="underscore" w:pos="8693"/>
      </w:tabs>
      <w:ind w:left="1920"/>
    </w:pPr>
    <w:rPr>
      <w:sz w:val="20"/>
      <w:szCs w:val="20"/>
      <w:lang w:val="en-GB" w:eastAsia="en-GB" w:bidi="en-GB"/>
    </w:rPr>
  </w:style>
  <w:style w:type="paragraph" w:styleId="BlockText">
    <w:name w:val="Block Text"/>
    <w:basedOn w:val="Normal"/>
    <w:next w:val="BlockText"/>
    <w:qFormat/>
    <w:pPr>
      <w:tabs>
        <w:tab w:val="left" w:pos="8080"/>
      </w:tabs>
      <w:ind w:right="613"/>
    </w:pPr>
    <w:rPr>
      <w:sz w:val="96"/>
      <w:szCs w:val="96"/>
      <w:lang w:val="en-GB" w:eastAsia="en-GB" w:bidi="en-GB"/>
    </w:rPr>
  </w:style>
  <w:style w:type="paragraph" w:styleId="BodyText">
    <w:name w:val="Body Text"/>
    <w:basedOn w:val="Normal"/>
    <w:next w:val="BodyText"/>
    <w:qFormat/>
    <w:pPr/>
    <w:rPr>
      <w:sz w:val="96"/>
      <w:szCs w:val="96"/>
      <w:lang w:val="en-GB" w:eastAsia="en-GB" w:bidi="en-GB"/>
    </w:rPr>
  </w:style>
  <w:style w:type="paragraph" w:styleId="Title">
    <w:name w:val="Title"/>
    <w:basedOn w:val="Normal"/>
    <w:next w:val="Title"/>
    <w:qFormat/>
    <w:pPr>
      <w:jc w:val="center"/>
    </w:pPr>
    <w:rPr>
      <w:rFonts w:ascii="Palatino" w:hAnsi="Palatino" w:eastAsia="Palatino" w:cs="Palatino"/>
      <w:b/>
      <w:bCs/>
      <w:color w:val="0000FF"/>
      <w:sz w:val="36"/>
      <w:szCs w:val="36"/>
      <w:lang w:val="en-GB" w:eastAsia="en-GB" w:bidi="en-GB"/>
    </w:rPr>
  </w:style>
  <w:style w:type="character" w:styleId="LineNumber">
    <w:name w:val="line number"/>
    <w:qFormat/>
    <w:rPr>
      <w:rtl w:val="off"/>
    </w:rPr>
  </w:style>
  <w:style w:type="character" w:styleId="Hyperlink">
    <w:name w:val="Hyperlink"/>
    <w:qFormat/>
    <w:rPr>
      <w:color w:val="0000FF"/>
      <w:u w:val="single"/>
      <w:rtl w:val="off"/>
    </w:rPr>
  </w:style>
  <w:style w:type="paragraph" w:styleId="NormalWeb">
    <w:name w:val="Normal (Web)"/>
    <w:basedOn w:val="Normal"/>
    <w:next w:val="NormalWeb"/>
    <w:qFormat/>
    <w:pPr/>
    <w:rPr>
      <w:lang w:val="en-US" w:eastAsia="en-US" w:bidi="en-US"/>
    </w:rPr>
  </w:style>
  <w:style w:type="character" w:styleId="Heading 2 Char" w:customStyle="1">
    <w:name w:val="Heading 2 Char"/>
    <w:qFormat/>
    <w:rPr>
      <w:rFonts w:ascii="Arial" w:hAnsi="Arial" w:eastAsia="Arial" w:cs="Arial"/>
      <w:b/>
      <w:bCs/>
      <w:sz w:val="28"/>
      <w:szCs w:val="28"/>
      <w:rtl w:val="off"/>
      <w:lang w:val="en-GB" w:eastAsia="en-GB" w:bidi="en-GB"/>
    </w:rPr>
  </w:style>
  <w:style w:type="paragraph" w:styleId="BodyText2">
    <w:name w:val="Body Text 2"/>
    <w:basedOn w:val="Normal"/>
    <w:next w:val="BodyText2"/>
    <w:qFormat/>
    <w:pPr>
      <w:spacing w:after="120" w:line="480" w:lineRule="auto"/>
    </w:pPr>
    <w:rPr>
      <w:lang w:val="en-GB" w:eastAsia="en-GB" w:bidi="en-GB"/>
    </w:rPr>
  </w:style>
  <w:style w:type="paragraph" w:styleId="BodyTextIndent2">
    <w:name w:val="Body Text Indent 2"/>
    <w:basedOn w:val="Normal"/>
    <w:next w:val="BodyTextIndent2"/>
    <w:qFormat/>
    <w:pPr>
      <w:spacing w:after="120" w:line="480" w:lineRule="auto"/>
      <w:ind w:left="283"/>
    </w:pPr>
    <w:rPr>
      <w:lang w:val="en-GB" w:eastAsia="en-GB" w:bidi="en-GB"/>
    </w:rPr>
  </w:style>
  <w:style w:type="character" w:styleId="Heading 1 Char" w:customStyle="1">
    <w:name w:val="Heading 1 Char"/>
    <w:qFormat/>
    <w:rPr>
      <w:rFonts w:ascii="Arial" w:hAnsi="Arial" w:eastAsia="Arial" w:cs="Arial"/>
      <w:b/>
      <w:bCs/>
      <w:sz w:val="36"/>
      <w:szCs w:val="36"/>
      <w:rtl w:val="off"/>
      <w:lang w:val="en-GB" w:eastAsia="en-GB" w:bidi="en-GB"/>
    </w:rPr>
  </w:style>
  <w:style w:type="character" w:styleId="Emphasis">
    <w:name w:val="Emphasis"/>
    <w:qFormat/>
    <w:rPr>
      <w:i/>
      <w:iCs/>
      <w:rtl w:val="off"/>
    </w:rPr>
  </w:style>
  <w:style w:type="paragraph" w:styleId="BalloonText">
    <w:name w:val="Balloon Text"/>
    <w:basedOn w:val="Normal"/>
    <w:next w:val="BalloonText"/>
    <w:qFormat/>
    <w:pPr/>
    <w:rPr>
      <w:rFonts w:ascii="Segoe UI" w:hAnsi="Segoe UI" w:eastAsia="Segoe UI" w:cs="Segoe UI"/>
      <w:sz w:val="18"/>
      <w:szCs w:val="18"/>
      <w:lang w:val="en-GB" w:eastAsia="en-GB" w:bidi="en-GB"/>
    </w:rPr>
  </w:style>
  <w:style w:type="character" w:styleId="Balloon Text Char" w:customStyle="1">
    <w:name w:val="Balloon Text Char"/>
    <w:qFormat/>
    <w:rPr>
      <w:rFonts w:ascii="Segoe UI" w:hAnsi="Segoe UI" w:eastAsia="Segoe UI" w:cs="Segoe UI"/>
      <w:sz w:val="18"/>
      <w:szCs w:val="18"/>
      <w:rtl w:val="off"/>
    </w:rPr>
  </w:style>
  <w:style w:type="character" w:styleId="CommentReference">
    <w:name w:val="annotation reference"/>
    <w:qFormat/>
    <w:rPr>
      <w:sz w:val="16"/>
      <w:szCs w:val="16"/>
      <w:rtl w:val="off"/>
    </w:rPr>
  </w:style>
  <w:style w:type="paragraph" w:styleId="CommentText">
    <w:name w:val="annotation text"/>
    <w:basedOn w:val="Normal"/>
    <w:next w:val="CommentText"/>
    <w:qFormat/>
    <w:pPr/>
    <w:rPr>
      <w:sz w:val="20"/>
      <w:szCs w:val="20"/>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rtl w:val="off"/>
    </w:rPr>
  </w:style>
  <w:style w:type="character" w:styleId="Comment Subject Char" w:customStyle="1">
    <w:name w:val="Comment Subject Char"/>
    <w:basedOn w:val="Comment Text Char"/>
    <w:qFormat/>
    <w:rPr>
      <w:b/>
      <w:bCs/>
    </w:rPr>
  </w:style>
  <w:style w:type="character" w:styleId="UnresolvedMention">
    <w:name w:val="Unresolved Mention"/>
    <w:qFormat/>
    <w:rPr>
      <w:color w:val="605E5C"/>
      <w:shd w:val="clear" w:color="auto" w:fill="E1DFDD"/>
      <w:rtl w:val="off"/>
    </w:rPr>
  </w:style>
  <w:style w:type="character" w:styleId="Footnote Text Char" w:customStyle="1">
    <w:name w:val="Footnote Text Char"/>
    <w:qFormat/>
    <w:rPr>
      <w:rtl w:val="off"/>
    </w:rPr>
  </w:style>
  <w:style w:type="paragraph" w:styleId="Revision">
    <w:name w:val="Revision"/>
    <w:basedOn w:val="[Normal]"/>
    <w:next w:val="Revision"/>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sz w:val="24"/>
      <w:szCs w:val="24"/>
      <w:lang w:val="en-GB" w:eastAsia="en-GB" w:bidi="en-GB"/>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6" Type="http://schemas.openxmlformats.org/officeDocument/2006/relationships/footer" Target="footer0001.xml"/>
	<Relationship Id="rId00005" Type="http://schemas.openxmlformats.org/officeDocument/2006/relationships/image" Target="media/image0001.emf"/>
	<Relationship Id="rId00007" Type="http://schemas.openxmlformats.org/officeDocument/2006/relationships/footnotes" Target="footnotes.xml"/>
	<Relationship Id="rId00008" Type="http://schemas.openxmlformats.org/officeDocument/2006/relationships/numbering" Target="numbering.xml"/>
	<Relationship Id="rId00009" Type="http://schemas.openxmlformats.org/officeDocument/2006/relationships/fontTable" Target="fontTable.xml"/>
	<Relationship Id="rId000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Ashlin McCourt</dc:creator>
  <dcterms:created xsi:type="dcterms:W3CDTF">2026-08-04T08:12:00Z</dcterms:created>
</cp:coreProperties>
</file>