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Belfast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Helvetica" w:hAnsi="Helvetica" w:eastAsia="Helvetica" w:cs="Helvetica"/>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Terms and conditions of employment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Helvetica" w:hAnsi="Helvetica" w:eastAsia="Helvetica" w:cs="Helvetica"/>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Painter and Decorator (Grade 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(Two permanent posts)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Helvetica" w:hAnsi="Helvetica" w:eastAsia="Helvetica" w:cs="Helvetica"/>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Property Maintenance Unit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Helvetica" w:hAnsi="Helvetica" w:eastAsia="Helvetica" w:cs="Helvetica"/>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Property and Projects Department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_______________________________________________________________________________</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Appointment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Any appointment to this post will be made by the selection panel but will be subject to ratification by the director of the relevant department.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color w:val="800080"/>
          <w:sz w:val="22"/>
          <w:szCs w:val="22"/>
          <w:lang w:val="en-GB" w:eastAsia="en-GB" w:bidi="en-GB"/>
        </w:rPr>
      </w:pPr>
      <w:r>
        <w:rPr>
          <w:rFonts w:ascii="Helvetica" w:hAnsi="Helvetica" w:eastAsia="Helvetica" w:cs="Helvetica"/>
          <w:sz w:val="22"/>
          <w:szCs w:val="22"/>
          <w:lang w:val="en-GB" w:eastAsia="en-GB" w:bidi="en-GB"/>
        </w:rPr>
        <w:t xml:space="preserve">There may be a reserve list of applicants drawn up for this post which would last for a maximum of 12 months</w:t>
      </w:r>
      <w:r>
        <w:rPr>
          <w:rFonts w:ascii="Helvetica" w:hAnsi="Helvetica" w:eastAsia="Helvetica" w:cs="Helvetica"/>
          <w:i/>
          <w:iCs/>
          <w:sz w:val="22"/>
          <w:szCs w:val="22"/>
          <w:lang w:val="en-GB" w:eastAsia="en-GB" w:bidi="en-GB"/>
        </w:rPr>
        <w:t xml:space="preserve">.</w:t>
      </w:r>
      <w:r>
        <w:rPr>
          <w:rFonts w:ascii="Helvetica" w:hAnsi="Helvetica" w:eastAsia="Helvetica" w:cs="Helvetica"/>
          <w:lang w:val="en-GB" w:eastAsia="en-GB" w:bidi="en-GB"/>
        </w:rPr>
        <w:t xml:space="preserve"> </w:t>
      </w:r>
      <w:r>
        <w:rPr>
          <w:rFonts w:ascii="Helvetica" w:hAnsi="Helvetica" w:eastAsia="Helvetica" w:cs="Helvetica"/>
          <w:sz w:val="22"/>
          <w:szCs w:val="22"/>
          <w:lang w:val="en-GB" w:eastAsia="en-GB" w:bidi="en-GB"/>
        </w:rPr>
        <w:t xml:space="preserve">Should a similar post become vacant within this time, it may be offered to those on the reserve list, in order of merit, without further interview.  For generic-type posts, this may include posts in another department.  </w:t>
      </w:r>
      <w:r>
        <w:rPr>
          <w:rFonts w:ascii="Helvetica" w:hAnsi="Helvetica" w:eastAsia="Helvetica" w:cs="Helvetica"/>
          <w:b/>
          <w:bCs/>
          <w:sz w:val="22"/>
          <w:szCs w:val="22"/>
          <w:lang w:val="en-GB" w:eastAsia="en-GB" w:bidi="en-GB"/>
        </w:rPr>
        <w:t xml:space="preserve">These posts may be either full-time, part-time or job share on a permanent, temporary or fixed-term basis.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lang w:val="en-GB" w:eastAsia="en-GB" w:bidi="en-GB"/>
        </w:rPr>
      </w:pPr>
      <w:r>
        <w:rPr>
          <w:rFonts w:ascii="Helvetica" w:hAnsi="Helvetica" w:eastAsia="Helvetica" w:cs="Helvetica"/>
          <w:sz w:val="22"/>
          <w:szCs w:val="22"/>
          <w:lang w:val="en-GB" w:eastAsia="en-GB" w:bidi="en-GB"/>
        </w:rPr>
        <w:t xml:space="preserve">If a similar post does become vacant within the timeframe of the reserve list, it will be offered to candidates on the reserve list in the following way:</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Helvetica" w:hAnsi="Helvetica" w:eastAsia="Helvetica" w:cs="Helvetica"/>
          <w:lang w:val="en-GB" w:eastAsia="en-GB" w:bidi="en-GB"/>
        </w:rPr>
      </w:pPr>
      <w:r>
        <w:rPr>
          <w:rFonts w:ascii="Helvetica" w:hAnsi="Helvetica" w:eastAsia="Helvetica" w:cs="Helvetica"/>
          <w:sz w:val="22"/>
          <w:szCs w:val="22"/>
          <w:lang w:val="en-GB" w:eastAsia="en-GB" w:bidi="en-GB"/>
        </w:rPr>
        <w:t xml:space="preserve">Candidates will be emailed or contacted by telephone and </w:t>
      </w:r>
      <w:r>
        <w:rPr>
          <w:rFonts w:ascii="Helvetica" w:hAnsi="Helvetica" w:eastAsia="Helvetica" w:cs="Helvetica"/>
          <w:b/>
          <w:bCs/>
          <w:sz w:val="22"/>
          <w:szCs w:val="22"/>
          <w:lang w:val="en-GB" w:eastAsia="en-GB" w:bidi="en-GB"/>
        </w:rPr>
        <w:t xml:space="preserve">must</w:t>
      </w:r>
      <w:r>
        <w:rPr>
          <w:rFonts w:ascii="Helvetica" w:hAnsi="Helvetica" w:eastAsia="Helvetica" w:cs="Helvetica"/>
          <w:sz w:val="22"/>
          <w:szCs w:val="22"/>
          <w:lang w:val="en-GB" w:eastAsia="en-GB" w:bidi="en-GB"/>
        </w:rPr>
        <w:t xml:space="preserve"> respond within three working days to accept or decline the post.</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Helvetica" w:hAnsi="Helvetica" w:eastAsia="Helvetica" w:cs="Helvetica"/>
          <w:lang w:val="en-GB" w:eastAsia="en-GB" w:bidi="en-GB"/>
        </w:rPr>
      </w:pPr>
      <w:r>
        <w:rPr>
          <w:rFonts w:ascii="Helvetica" w:hAnsi="Helvetica" w:eastAsia="Helvetica" w:cs="Helvetica"/>
          <w:sz w:val="22"/>
          <w:szCs w:val="22"/>
          <w:lang w:val="en-GB" w:eastAsia="en-GB" w:bidi="en-GB"/>
        </w:rPr>
        <w:t xml:space="preserve">If candidates do not respond within the above time frame, the post will be offered, in order of merit, to the next person on the reserve list. The names of those candidates who have not responded within the above timeframe will, however, be retained on the reserve list to be considered for future vacant posts.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lang w:val="en-GB" w:eastAsia="en-GB" w:bidi="en-GB"/>
        </w:rPr>
      </w:pPr>
      <w:r>
        <w:rPr>
          <w:rFonts w:ascii="Helvetica" w:hAnsi="Helvetica" w:eastAsia="Helvetica" w:cs="Helvetica"/>
          <w:sz w:val="22"/>
          <w:szCs w:val="22"/>
          <w:lang w:val="en-GB" w:eastAsia="en-GB" w:bidi="en-GB"/>
        </w:rPr>
        <w:t xml:space="preserve">Should your email address or your contact telephone number change after having submitted your online application form, it is your responsibility to log onto the Candidate Portal and update this information with your new contact details.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There are currently two permanent, full-time posts available.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b/>
          <w:bCs/>
          <w:sz w:val="22"/>
          <w:szCs w:val="22"/>
          <w:lang w:val="en-GB" w:eastAsia="en-GB" w:bidi="en-GB"/>
        </w:rPr>
        <w:t xml:space="preserve">Job description</w:t>
      </w:r>
      <w:r>
        <w:rPr>
          <w:rFonts w:ascii="Helvetica" w:hAnsi="Helvetica" w:eastAsia="Helvetica" w:cs="Helvetica"/>
          <w:sz w:val="22"/>
          <w:szCs w:val="22"/>
          <w:lang w:val="en-GB" w:eastAsia="en-GB" w:bidi="en-GB"/>
        </w:rPr>
        <w:t xml:space="preserve">: please refer to the job description for details of the duties of the post.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b/>
          <w:bCs/>
          <w:sz w:val="22"/>
          <w:szCs w:val="22"/>
          <w:lang w:val="en-GB" w:eastAsia="en-GB" w:bidi="en-GB"/>
        </w:rPr>
        <w:t xml:space="preserve">Employee specification</w:t>
      </w:r>
      <w:r>
        <w:rPr>
          <w:rFonts w:ascii="Helvetica" w:hAnsi="Helvetica" w:eastAsia="Helvetica" w:cs="Helvetica"/>
          <w:sz w:val="22"/>
          <w:szCs w:val="22"/>
          <w:lang w:val="en-GB" w:eastAsia="en-GB" w:bidi="en-GB"/>
        </w:rPr>
        <w:t xml:space="preserve">: please refer to the attached employee specification for details of any licences, qualifications and experience etc. which are required for the post. Should you be recommended for appointment to this post, you will be required to produce official original proof of any licences, qualifications etc. you relied upon to support your application.  Please also be advised that you must provide evidence to demonstrate that you were in possession of such licences, qualifications at the closing date for applications.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The employee specification for this post requires candidates to have a full, current driving licence which enables them to drive in Northern Ireland, or, “access to a form of transport which enables them to meet the requirements of the post in full”.  Please be advised that this alternative is a ‘reasonable adjustment’ specifically for applicants with disabilities who, as a result of their disability, are unable to hold a full, current driving licence.  However, please also be advised that given the business need for the post holder to visit council properties to deliver a high quality, responsive and customer focused service the ‘reasonableness’ of this adjustment will be thoroughly considered prior to any appointment being made.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Remuneration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The salary will be determined by the council in line with that determined by the Craft Employees in Belfast City Council Local Agreement on Pay and Grading - February 2008 </w:t>
      </w:r>
      <w:r>
        <w:rPr>
          <w:rFonts w:ascii="Helvetica" w:hAnsi="Helvetica" w:eastAsia="Helvetica" w:cs="Helvetica"/>
          <w:b/>
          <w:bCs/>
          <w:sz w:val="20"/>
          <w:szCs w:val="20"/>
          <w:lang w:val="en-GB" w:eastAsia="en-GB" w:bidi="en-GB"/>
        </w:rPr>
        <w:t xml:space="preserve">(</w:t>
      </w:r>
      <w:r>
        <w:rPr>
          <w:rFonts w:ascii="Helvetica" w:hAnsi="Helvetica" w:eastAsia="Helvetica" w:cs="Helvetica"/>
          <w:sz w:val="22"/>
          <w:szCs w:val="22"/>
          <w:lang w:val="en-GB" w:eastAsia="en-GB" w:bidi="en-GB"/>
        </w:rPr>
        <w:t xml:space="preserve">based on Belfast City Council’s National Joint Council for Local Government Services Scales), currently Grade 4, SCP 16 to 19, £31,525 - £33,119 per annum (in normal circumstances, the starting salary is the minimum point), paid fortnightly by direct payment by the Bankers Automated Clearing System (BACS) to a bank or building society account of your choice.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color w:val="FF0000"/>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color w:val="CC99FF"/>
          <w:sz w:val="22"/>
          <w:szCs w:val="22"/>
          <w:lang w:val="en-GB" w:eastAsia="en-GB" w:bidi="en-GB"/>
        </w:rPr>
      </w:pPr>
      <w:r>
        <w:rPr>
          <w:rFonts w:ascii="Helvetica" w:hAnsi="Helvetica" w:eastAsia="Helvetica" w:cs="Helvetica"/>
          <w:b/>
          <w:bCs/>
          <w:sz w:val="22"/>
          <w:szCs w:val="22"/>
          <w:lang w:val="en-GB" w:eastAsia="en-GB" w:bidi="en-GB"/>
        </w:rPr>
        <w:t xml:space="preserve">The council reserves the right to transfer you onto monthly pay by BACS at any stage in the future without payment.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Location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You will be based initially in the Duncrue Complex, Duncrue Road, Belfast, BT3 9BP</w:t>
      </w:r>
      <w:r>
        <w:rPr>
          <w:rFonts w:ascii="Helvetica" w:hAnsi="Helvetica" w:eastAsia="Helvetica" w:cs="Helvetica"/>
          <w:color w:val="7030A0"/>
          <w:sz w:val="22"/>
          <w:szCs w:val="22"/>
          <w:lang w:val="en-GB" w:eastAsia="en-GB" w:bidi="en-GB"/>
        </w:rPr>
        <w:t xml:space="preserve"> </w:t>
      </w:r>
      <w:r>
        <w:rPr>
          <w:rFonts w:ascii="Helvetica" w:hAnsi="Helvetica" w:eastAsia="Helvetica" w:cs="Helvetica"/>
          <w:sz w:val="22"/>
          <w:szCs w:val="22"/>
          <w:lang w:val="en-GB" w:eastAsia="en-GB" w:bidi="en-GB"/>
        </w:rPr>
        <w:t xml:space="preserve">but will be required to work in and or visit other locations.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Pre-employment checks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Prior to taking up duty the person recommended for appointment must:</w:t>
      </w:r>
    </w:p>
    <w:p>
      <w:pPr>
        <w:pStyle w:val="Normal"/>
        <w:numPr>
          <w:ilvl w:val="0"/>
          <w:numId w:val="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Enter into an agreement which sets out the main terms and conditions of employment.</w:t>
      </w:r>
    </w:p>
    <w:p>
      <w:pPr>
        <w:pStyle w:val="Normal"/>
        <w:numPr>
          <w:ilvl w:val="0"/>
          <w:numId w:val="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Provide evidence of the right to work and reside in the UK via a digital identity check via the council’s Digital Verification Service (DVS). To use this method, you will need to hold a current UK or Irish biometric passport or passport card. Individuals who are unable to provide evidence of their right to work and reside in the UK via this method, </w:t>
      </w:r>
      <w:r>
        <w:rPr>
          <w:rFonts w:ascii="Helvetica" w:hAnsi="Helvetica" w:eastAsia="Helvetica" w:cs="Helvetica"/>
          <w:sz w:val="22"/>
          <w:szCs w:val="22"/>
          <w:lang w:val="en-US" w:eastAsia="en-US" w:bidi="en-US"/>
        </w:rPr>
        <w:t xml:space="preserve">must inform the council and a list of any official alternative documentation will be made available to them. </w:t>
      </w:r>
      <w:r>
        <w:rPr>
          <w:rFonts w:ascii="Helvetica" w:hAnsi="Helvetica" w:eastAsia="Helvetica" w:cs="Helvetica"/>
          <w:sz w:val="22"/>
          <w:szCs w:val="22"/>
          <w:lang w:val="en-GB" w:eastAsia="en-GB" w:bidi="en-GB"/>
        </w:rPr>
        <w:t xml:space="preserve">No temporary national insurance numbers can be accepted. </w:t>
      </w:r>
    </w:p>
    <w:p>
      <w:pPr>
        <w:pStyle w:val="Normal"/>
        <w:numPr>
          <w:ilvl w:val="0"/>
          <w:numId w:val="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Produce official evidence of your qualifications and driving licence (both parts) as required.  Please be advised that you must provide evidence to demonstrate that you were in possession of them at the closing date for applications.</w:t>
      </w:r>
    </w:p>
    <w:p>
      <w:pPr>
        <w:pStyle w:val="Normal"/>
        <w:numPr>
          <w:ilvl w:val="0"/>
          <w:numId w:val="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Provide details of the bank or building society account to which your salary or wage will be lodged.</w:t>
      </w:r>
    </w:p>
    <w:p>
      <w:pPr>
        <w:pStyle w:val="Normal"/>
        <w:numPr>
          <w:ilvl w:val="0"/>
          <w:numId w:val="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Pass satisfactorily a medical assessment by the council’s Occupational Health Service provider.</w:t>
      </w:r>
    </w:p>
    <w:p>
      <w:pPr>
        <w:pStyle w:val="Normal"/>
        <w:numPr>
          <w:ilvl w:val="0"/>
          <w:numId w:val="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Complete a disclosure of family relationships form.</w:t>
      </w:r>
    </w:p>
    <w:p>
      <w:pPr>
        <w:pStyle w:val="Normal"/>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rPr>
          <w:rFonts w:ascii="Helvetica" w:hAnsi="Helvetica" w:eastAsia="Helvetica" w:cs="Helvetica"/>
          <w:color w:val="FF6600"/>
          <w:sz w:val="22"/>
          <w:szCs w:val="22"/>
          <w:lang w:val="en-GB" w:eastAsia="en-GB" w:bidi="en-GB"/>
        </w:rPr>
      </w:pPr>
      <w:r>
        <w:rPr>
          <w:rFonts w:ascii="Helvetica" w:hAnsi="Helvetica" w:eastAsia="Helvetica" w:cs="Helvetica"/>
          <w:sz w:val="22"/>
          <w:szCs w:val="22"/>
          <w:lang w:val="en-GB" w:eastAsia="en-GB" w:bidi="en-GB"/>
        </w:rPr>
        <w:t xml:space="preserve">(g)	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taken into account only when the conviction is considered relevant to the post and will be seen in the context of the job, the nature of the offence and the responsibility for the care of existing client/customer and employees.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Most, if not all, of the above pre-employment checks must be submitted online by the recommended for appointment candidate via the council’s Onboarding Portal within 10 working days or consideration will be given to withdrawing the recommendation for appointment and no formal offer of appointment will be made.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An employee currently undertaking a temporary project/cover/review post will not be able to continue working for the remaining duration of this temporary post prior to taking up a permanent post, even if this temporary post is of a higher grade.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color w:val="FF0000"/>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Council policies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You will be required to comply with all current and future council policies, procedures, guidelines, agreed working practices and any relevant collective agreements incorporated into the contract of employment.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Please note, if you are charged with an act of criminal misconduct, whether on duty or not, you will be required to inform your line manager as soon as possible.  Being charged with a criminal offence is not, in itself, sufficient grounds for dismissal and in all cases the nature of the offence and the effect on the employment relationship will determine the action to be taken in accordance with the council’s HR procedures.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Conditions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i/>
          <w:iCs/>
          <w:sz w:val="22"/>
          <w:szCs w:val="22"/>
          <w:lang w:val="en-GB" w:eastAsia="en-GB" w:bidi="en-GB"/>
        </w:rPr>
      </w:pPr>
      <w:r>
        <w:rPr>
          <w:rFonts w:ascii="Helvetica" w:hAnsi="Helvetica" w:eastAsia="Helvetica" w:cs="Helvetica"/>
          <w:sz w:val="22"/>
          <w:szCs w:val="22"/>
          <w:lang w:val="en-GB" w:eastAsia="en-GB" w:bidi="en-GB"/>
        </w:rPr>
        <w:t xml:space="preserve">The general conditions of service as prescribed from time to time by the Joint Negotiating Committee for Local Authority Craft and Associated Employees and by the council for its officers shall apply to the appointment and the Single Status Implementation Agreement dated 2007 as renegotiated from time to time is hereby incorporated into the contract of employment.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i/>
          <w:i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i/>
          <w:iCs/>
          <w:sz w:val="22"/>
          <w:szCs w:val="22"/>
          <w:lang w:val="en-GB" w:eastAsia="en-GB" w:bidi="en-GB"/>
        </w:rPr>
      </w:pPr>
      <w:r>
        <w:rPr>
          <w:rFonts w:ascii="Helvetica" w:hAnsi="Helvetica" w:eastAsia="Helvetica" w:cs="Helvetica"/>
          <w:i/>
          <w:iCs/>
          <w:sz w:val="22"/>
          <w:szCs w:val="22"/>
          <w:lang w:val="en-GB" w:eastAsia="en-GB" w:bidi="en-GB"/>
        </w:rPr>
        <w:t xml:space="preserve">A copy of the council’s Disciplinary Procedure and Grievance Procedure will be issued to all new employees at the council’s Induction Course.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Please note if you are an applicant with previous local authority service in England, Scotland, Wales etc., you are advised to clarify your particular situation with regard to the continuity of this service, prior to accepting an offer of appointment from Belfast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i/>
          <w:i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Service and hours of duty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The hours of duty are 37 hours per week, </w:t>
      </w:r>
      <w:r>
        <w:rPr>
          <w:rFonts w:ascii="Helvetica" w:hAnsi="Helvetica" w:eastAsia="Helvetica" w:cs="Helvetica"/>
          <w:b/>
          <w:bCs/>
          <w:sz w:val="22"/>
          <w:szCs w:val="22"/>
          <w:lang w:val="en-GB" w:eastAsia="en-GB" w:bidi="en-GB"/>
        </w:rPr>
        <w:t xml:space="preserve">Monday to Thursday, 8am to 4.30pm and Friday 8am to 1pm</w:t>
      </w:r>
      <w:r>
        <w:rPr>
          <w:rFonts w:ascii="Helvetica" w:hAnsi="Helvetica" w:eastAsia="Helvetica" w:cs="Helvetica"/>
          <w:sz w:val="22"/>
          <w:szCs w:val="22"/>
          <w:lang w:val="en-GB" w:eastAsia="en-GB" w:bidi="en-GB"/>
        </w:rPr>
        <w:t xml:space="preserve"> but, when advised, you will be required for operational reasons to work outside of these hours including on extra statutory, bank and/or public holidays.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accordance with the National Joint Council for Local Government Services National Agreement on Pay and Conditions of Service variations to the established working week or patterns of work will be reasonable and subject to adequate notice.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color w:val="00CCFF"/>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Annual leave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Annual leave and extra statutory, bank or public holiday entitlement is calculated in hours/minutes.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are appointed on the standard full-time hours of 37 per week, you will be entitled to 177.6 hours (24 days) annual leave, plus 88.8 hours (12 days) bank or other holidays.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Annual leave entitlement will be increased by 37 hours (5 days) in the case of officers who have not less than 5 years’ continuous service and by a further 22.2 hours (3 days) in the case of officers who have not less than 10 years’ continuous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24"/>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Figures in brackets represent the number of days based upon a standard day of 7.4 hrs.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24"/>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do not work the standard full-time hours, annual leave and extra statutory, bank or public holiday entitlement will be calculated on a pro rata basis to their contracted hours, based on the standard full-time hours of 37 per week and a standard day of 7.4 hours (i.e. 7 hrs 24 minutes).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Arial" w:hAnsi="Arial" w:eastAsia="Arial" w:cs="Arial"/>
          <w:sz w:val="22"/>
          <w:szCs w:val="22"/>
          <w:lang w:val="en-GB" w:eastAsia="en-GB" w:bidi="en-GB"/>
        </w:rPr>
        <w:t xml:space="preserve">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All employees required to work on extra statutory, bank or public holidays will be remunerated in accordance with Part 3, paragraph 2 of the </w:t>
      </w:r>
      <w:r>
        <w:rPr>
          <w:rFonts w:ascii="Helvetica" w:hAnsi="Helvetica" w:eastAsia="Helvetica" w:cs="Helvetica"/>
          <w:sz w:val="22"/>
          <w:szCs w:val="22"/>
          <w:lang w:val="en-GB" w:eastAsia="en-GB" w:bidi="en-GB"/>
        </w:rPr>
        <w:t xml:space="preserve">National Joint Council for Local Government Services National Agreement on Pay and Conditions of Service</w:t>
      </w:r>
      <w:r>
        <w:rPr>
          <w:rFonts w:ascii="Arial" w:hAnsi="Arial" w:eastAsia="Arial" w:cs="Arial"/>
          <w:sz w:val="22"/>
          <w:szCs w:val="22"/>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color w:val="808000"/>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Sick leave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jc w:val="left"/>
        <w:tblInd w:w="0" w:type="dxa"/>
        <w:tblBorders>
          <w:top w:val="none"/>
          <w:left w:val="none"/>
          <w:bottom w:val="none"/>
          <w:right w:val="none"/>
          <w:insideH w:val="none"/>
          <w:insideV w:val="none"/>
        </w:tblBorders>
        <w:tblLayout w:type="fixed"/>
        <w:tblCellMar>
          <w:top w:w="0" w:type="dxa"/>
          <w:left w:w="108" w:type="dxa"/>
          <w:bottom w:w="0" w:type="dxa"/>
          <w:right w:w="108" w:type="dxa"/>
        </w:tblCellMar>
      </w:tblPr>
      <w:tblGrid>
        <w:gridCol w:w="4261"/>
        <w:gridCol w:w="4847"/>
      </w:tblGrid>
      <w:tr>
        <w:tc>
          <w:tcPr>
            <w:tcW w:w="42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During first year of service</w:t>
            </w:r>
          </w:p>
        </w:tc>
        <w:tc>
          <w:tcPr>
            <w:tcW w:w="484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one month’s full pay and (after completing four months service) two months half pay</w:t>
            </w:r>
          </w:p>
        </w:tc>
      </w:tr>
      <w:tr>
        <w:tc>
          <w:tcPr>
            <w:tcW w:w="42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c>
          <w:tcPr>
            <w:tcW w:w="484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r>
      <w:tr>
        <w:tc>
          <w:tcPr>
            <w:tcW w:w="42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During second year of service</w:t>
            </w:r>
          </w:p>
        </w:tc>
        <w:tc>
          <w:tcPr>
            <w:tcW w:w="484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two months’ full pay, and two months’ half pay</w:t>
            </w:r>
          </w:p>
        </w:tc>
      </w:tr>
      <w:tr>
        <w:tc>
          <w:tcPr>
            <w:tcW w:w="42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c>
          <w:tcPr>
            <w:tcW w:w="484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r>
      <w:tr>
        <w:tc>
          <w:tcPr>
            <w:tcW w:w="42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During third year of service</w:t>
            </w:r>
          </w:p>
        </w:tc>
        <w:tc>
          <w:tcPr>
            <w:tcW w:w="484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four months’ full pay, and four months’ half pay</w:t>
            </w:r>
          </w:p>
        </w:tc>
      </w:tr>
      <w:tr>
        <w:tc>
          <w:tcPr>
            <w:tcW w:w="42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c>
          <w:tcPr>
            <w:tcW w:w="484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r>
      <w:tr>
        <w:tc>
          <w:tcPr>
            <w:tcW w:w="42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During fourth and fifth years of service</w:t>
            </w:r>
          </w:p>
        </w:tc>
        <w:tc>
          <w:tcPr>
            <w:tcW w:w="484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five months’ full pay, and five months’ half pay</w:t>
            </w:r>
          </w:p>
        </w:tc>
      </w:tr>
      <w:tr>
        <w:tc>
          <w:tcPr>
            <w:tcW w:w="42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c>
          <w:tcPr>
            <w:tcW w:w="484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r>
      <w:tr>
        <w:tc>
          <w:tcPr>
            <w:tcW w:w="42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After five years’ service</w:t>
            </w:r>
          </w:p>
        </w:tc>
        <w:tc>
          <w:tcPr>
            <w:tcW w:w="4847"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six months’ full pay, and six months’ half pay</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US" w:eastAsia="en-US" w:bidi="en-US"/>
        </w:rPr>
      </w:pPr>
      <w:r>
        <w:rPr>
          <w:rFonts w:ascii="Helvetica" w:hAnsi="Helvetica" w:eastAsia="Helvetica" w:cs="Helvetica"/>
          <w:b/>
          <w:bCs/>
          <w:sz w:val="22"/>
          <w:szCs w:val="22"/>
          <w:lang w:val="en-US" w:eastAsia="en-US" w:bidi="en-US"/>
        </w:rPr>
        <w:t xml:space="preserve">Superannuation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US" w:eastAsia="en-US" w:bidi="en-US"/>
        </w:rPr>
      </w:pPr>
      <w:r>
        <w:rPr>
          <w:rFonts w:ascii="Helvetica" w:hAnsi="Helvetica" w:eastAsia="Helvetica" w:cs="Helvetica"/>
          <w:sz w:val="22"/>
          <w:szCs w:val="22"/>
          <w:lang w:val="en-US" w:eastAsia="en-US" w:bidi="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Pr>
          <w:rFonts w:ascii="Helvetica" w:hAnsi="Helvetica" w:eastAsia="Helvetica" w:cs="Helvetica"/>
          <w:sz w:val="22"/>
          <w:szCs w:val="22"/>
          <w:lang w:val="en-GB" w:eastAsia="en-GB" w:bidi="en-GB"/>
        </w:rPr>
        <w:t xml:space="preserve">Appointees (including for casual posts), who do not meet the criteria for immediate automatic enrolment, can opt to join the scheme by contacting Payroll in writing (email </w:t>
      </w:r>
      <w:r>
        <w:rPr>
          <w:rFonts w:ascii="Helvetica" w:hAnsi="Helvetica" w:eastAsia="Helvetica" w:cs="Helvetica"/>
          <w:color w:val="0000FF"/>
          <w:sz w:val="22"/>
          <w:szCs w:val="22"/>
          <w:u w:val="single"/>
          <w:lang w:val="en-GB" w:eastAsia="en-GB" w:bidi="en-GB"/>
        </w:rPr>
        <w:fldChar w:fldCharType="begin"/>
      </w:r>
      <w:r>
        <w:rPr>
          <w:rFonts w:ascii="Helvetica" w:hAnsi="Helvetica" w:eastAsia="Helvetica" w:cs="Helvetica"/>
          <w:color w:val="0000FF"/>
          <w:sz w:val="22"/>
          <w:szCs w:val="22"/>
          <w:u w:val="single"/>
          <w:lang w:val="en-GB" w:eastAsia="en-GB" w:bidi="en-GB"/>
        </w:rPr>
        <w:instrText xml:space="preserve"> HYPERLINK "mailto:payroll@belfastcity.gov.uk" </w:instrText>
      </w:r>
      <w:r>
        <w:rPr>
          <w:rFonts w:ascii="Helvetica" w:hAnsi="Helvetica" w:eastAsia="Helvetica" w:cs="Helvetica"/>
          <w:color w:val="0000FF"/>
          <w:sz w:val="22"/>
          <w:szCs w:val="22"/>
          <w:u w:val="single"/>
          <w:lang w:val="en-GB" w:eastAsia="en-GB" w:bidi="en-GB"/>
        </w:rPr>
        <w:fldChar w:fldCharType="separate"/>
      </w:r>
      <w:r>
        <w:rPr>
          <w:rFonts w:ascii="Helvetica" w:hAnsi="Helvetica" w:eastAsia="Helvetica" w:cs="Helvetica"/>
          <w:color w:val="0000FF"/>
          <w:sz w:val="22"/>
          <w:szCs w:val="22"/>
          <w:u w:val="single"/>
          <w:lang w:val="en-GB" w:eastAsia="en-GB" w:bidi="en-GB"/>
        </w:rPr>
        <w:t xml:space="preserve">payroll@belfastcity.gov.uk</w:t>
      </w:r>
      <w:r>
        <w:rPr>
          <w:rFonts w:ascii="Helvetica" w:hAnsi="Helvetica" w:eastAsia="Helvetica" w:cs="Helvetica"/>
          <w:sz w:val="22"/>
          <w:szCs w:val="22"/>
          <w:lang w:val="en-GB" w:eastAsia="en-GB" w:bidi="en-GB"/>
        </w:rPr>
        <w:fldChar w:fldCharType="end"/>
      </w:r>
      <w:r>
        <w:rPr>
          <w:rFonts w:ascii="Helvetica" w:hAnsi="Helvetica" w:eastAsia="Helvetica" w:cs="Helvetica"/>
          <w:sz w:val="22"/>
          <w:szCs w:val="22"/>
          <w:lang w:val="en-GB" w:eastAsia="en-GB" w:bidi="en-GB"/>
        </w:rPr>
        <w:t xml:space="preserve">).</w:t>
      </w:r>
      <w:r>
        <w:rPr>
          <w:rFonts w:ascii="Helvetica" w:hAnsi="Helvetica" w:eastAsia="Helvetica" w:cs="Helvetica"/>
          <w:i/>
          <w:iCs/>
          <w:sz w:val="22"/>
          <w:szCs w:val="22"/>
          <w:lang w:val="en-GB" w:eastAsia="en-GB" w:bidi="en-GB"/>
        </w:rPr>
        <w:t xml:space="preserve"> </w:t>
      </w:r>
      <w:r>
        <w:rPr>
          <w:rFonts w:ascii="Helvetica" w:hAnsi="Helvetica" w:eastAsia="Helvetica" w:cs="Helvetica"/>
          <w:sz w:val="22"/>
          <w:szCs w:val="22"/>
          <w:lang w:val="en-US" w:eastAsia="en-US" w:bidi="en-US"/>
        </w:rPr>
        <w:t xml:space="preserve">The LGPS (NI) is administered by Northern Ireland Local Government Officers’ Superannuation Committee (NILGOSC) (</w:t>
      </w:r>
      <w:r>
        <w:rPr>
          <w:rFonts w:ascii="Helvetica" w:hAnsi="Helvetica" w:eastAsia="Helvetica" w:cs="Helvetica"/>
          <w:color w:val="0000FF"/>
          <w:sz w:val="22"/>
          <w:szCs w:val="22"/>
          <w:u w:val="single"/>
          <w:lang w:val="en-US" w:eastAsia="en-US" w:bidi="en-US"/>
        </w:rPr>
        <w:fldChar w:fldCharType="begin"/>
      </w:r>
      <w:r>
        <w:rPr>
          <w:rFonts w:ascii="Helvetica" w:hAnsi="Helvetica" w:eastAsia="Helvetica" w:cs="Helvetica"/>
          <w:color w:val="0000FF"/>
          <w:sz w:val="22"/>
          <w:szCs w:val="22"/>
          <w:u w:val="single"/>
          <w:lang w:val="en-US" w:eastAsia="en-US" w:bidi="en-US"/>
        </w:rPr>
        <w:instrText xml:space="preserve"> HYPERLINK "http://www.nilgosc.org.uk" </w:instrText>
      </w:r>
      <w:r>
        <w:rPr>
          <w:rFonts w:ascii="Helvetica" w:hAnsi="Helvetica" w:eastAsia="Helvetica" w:cs="Helvetica"/>
          <w:color w:val="0000FF"/>
          <w:sz w:val="22"/>
          <w:szCs w:val="22"/>
          <w:u w:val="single"/>
          <w:lang w:val="en-US" w:eastAsia="en-US" w:bidi="en-US"/>
        </w:rPr>
        <w:fldChar w:fldCharType="separate"/>
      </w:r>
      <w:r>
        <w:rPr>
          <w:rFonts w:ascii="Helvetica" w:hAnsi="Helvetica" w:eastAsia="Helvetica" w:cs="Helvetica"/>
          <w:color w:val="0000FF"/>
          <w:sz w:val="22"/>
          <w:szCs w:val="22"/>
          <w:u w:val="single"/>
          <w:lang w:val="en-US" w:eastAsia="en-US" w:bidi="en-US"/>
        </w:rPr>
        <w:t xml:space="preserve">www.nilgosc.org.uk</w:t>
      </w:r>
      <w:r>
        <w:rPr>
          <w:rFonts w:ascii="Helvetica" w:hAnsi="Helvetica" w:eastAsia="Helvetica" w:cs="Helvetica"/>
          <w:sz w:val="22"/>
          <w:szCs w:val="22"/>
          <w:lang w:val="en-US" w:eastAsia="en-US" w:bidi="en-US"/>
        </w:rPr>
        <w:fldChar w:fldCharType="end"/>
      </w:r>
      <w:r>
        <w:rPr>
          <w:rFonts w:ascii="Helvetica" w:hAnsi="Helvetica" w:eastAsia="Helvetica" w:cs="Helvetica"/>
          <w:sz w:val="22"/>
          <w:szCs w:val="22"/>
          <w:lang w:val="en-US" w:eastAsia="en-US" w:bidi="en-US"/>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i/>
          <w:i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Travel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A van may be provided from time to time in order to carry out some of the duties of the post.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i/>
          <w:iCs/>
          <w:color w:val="FF0000"/>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Uniform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r>
        <w:rPr>
          <w:rFonts w:ascii="Helvetica" w:hAnsi="Helvetica" w:eastAsia="Helvetica" w:cs="Helvetica"/>
          <w:sz w:val="22"/>
          <w:szCs w:val="22"/>
          <w:lang w:val="en-GB" w:eastAsia="en-GB" w:bidi="en-GB"/>
        </w:rPr>
        <w:t xml:space="preserve">Uniform clothing will be issued by the relevant department.  The wearing of such uniform clothing will be a pre-requisite of appointment and it must only be worn whilst on duty.  Only in exceptional circumstances will items be replaced.  All items of clothing and other issued equipment will remain the property of the relevant department.  Facilities for changing and storage will be available.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Canvassing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Notice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The minimum period of notice to be given by you shall normally be the ordinary period from one payment of salary or wages to the next.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Belfast City Council may terminate your employment with the council by giving the following period of notice: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bl>
      <w:tblPr>
        <w:tblW w:w="0" w:type="auto"/>
        <w:jc w:val="left"/>
        <w:tblInd w:w="0" w:type="dxa"/>
        <w:tblBorders>
          <w:top w:val="none"/>
          <w:left w:val="none"/>
          <w:bottom w:val="none"/>
          <w:right w:val="none"/>
          <w:insideH w:val="none"/>
          <w:insideV w:val="none"/>
        </w:tblBorders>
        <w:tblLayout w:type="fixed"/>
        <w:tblCellMar>
          <w:top w:w="0" w:type="dxa"/>
          <w:left w:w="108" w:type="dxa"/>
          <w:bottom w:w="0" w:type="dxa"/>
          <w:right w:w="108" w:type="dxa"/>
        </w:tblCellMar>
      </w:tblPr>
      <w:tblGrid>
        <w:gridCol w:w="4788"/>
        <w:gridCol w:w="4320"/>
      </w:tblGrid>
      <w:tr>
        <w:tc>
          <w:tcPr>
            <w:tcW w:w="478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Continuous service</w:t>
            </w:r>
          </w:p>
        </w:tc>
        <w:tc>
          <w:tcPr>
            <w:tcW w:w="432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Period of notice</w:t>
            </w:r>
          </w:p>
        </w:tc>
      </w:tr>
      <w:tr>
        <w:tc>
          <w:tcPr>
            <w:tcW w:w="478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u w:val="single"/>
                <w:lang w:val="en-GB" w:eastAsia="en-GB" w:bidi="en-GB"/>
              </w:rPr>
            </w:pPr>
            <w:r>
              <w:rPr>
                <w:rFonts w:ascii="Helvetica" w:hAnsi="Helvetica" w:eastAsia="Helvetica" w:cs="Helvetica"/>
                <w:sz w:val="22"/>
                <w:szCs w:val="22"/>
                <w:lang w:val="en-GB" w:eastAsia="en-GB" w:bidi="en-GB"/>
              </w:rPr>
              <w:t xml:space="preserve">One month or more but less than two years</w:t>
            </w:r>
          </w:p>
        </w:tc>
        <w:tc>
          <w:tcPr>
            <w:tcW w:w="432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Not less than one week</w:t>
            </w:r>
          </w:p>
        </w:tc>
      </w:tr>
      <w:tr>
        <w:tc>
          <w:tcPr>
            <w:tcW w:w="478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c>
          <w:tcPr>
            <w:tcW w:w="432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r>
      <w:tr>
        <w:tc>
          <w:tcPr>
            <w:tcW w:w="478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Two years or more but less than twelve years</w:t>
            </w:r>
          </w:p>
        </w:tc>
        <w:tc>
          <w:tcPr>
            <w:tcW w:w="432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Not less than one week for each year of continuous service</w:t>
            </w:r>
          </w:p>
        </w:tc>
      </w:tr>
      <w:tr>
        <w:tc>
          <w:tcPr>
            <w:tcW w:w="478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c>
          <w:tcPr>
            <w:tcW w:w="432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tc>
      </w:tr>
      <w:tr>
        <w:tc>
          <w:tcPr>
            <w:tcW w:w="478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12 years or more</w:t>
            </w:r>
          </w:p>
        </w:tc>
        <w:tc>
          <w:tcPr>
            <w:tcW w:w="432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Not less than 12 weeks</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Probationary period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You may be required to complete a six-month probationary period, if this is a requirement of the relevant department, and during this time one week’s notice will be given by the council to terminate employment.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b/>
          <w:bCs/>
          <w:sz w:val="22"/>
          <w:szCs w:val="22"/>
          <w:lang w:val="en-GB" w:eastAsia="en-GB" w:bidi="en-GB"/>
        </w:rPr>
        <w:t xml:space="preserve">Interview expenses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Reimbursement of interview expenses is not available.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Receipt of applications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sz w:val="22"/>
          <w:szCs w:val="22"/>
          <w:lang w:val="en-GB" w:eastAsia="en-GB" w:bidi="en-GB"/>
        </w:rPr>
        <w:t xml:space="preserve">Completed applications must be submitted online </w:t>
      </w:r>
      <w:r>
        <w:rPr>
          <w:rFonts w:ascii="Helvetica" w:hAnsi="Helvetica" w:eastAsia="Helvetica" w:cs="Helvetica"/>
          <w:b/>
          <w:bCs/>
          <w:sz w:val="22"/>
          <w:szCs w:val="22"/>
          <w:lang w:val="en-GB" w:eastAsia="en-GB" w:bidi="en-GB"/>
        </w:rPr>
        <w:t xml:space="preserve">before 12 midnight</w:t>
      </w:r>
      <w:r>
        <w:rPr>
          <w:rFonts w:ascii="Helvetica" w:hAnsi="Helvetica" w:eastAsia="Helvetica" w:cs="Helvetica"/>
          <w:sz w:val="22"/>
          <w:szCs w:val="22"/>
          <w:lang w:val="en-GB" w:eastAsia="en-GB" w:bidi="en-GB"/>
        </w:rPr>
        <w:t xml:space="preserve"> on </w:t>
      </w:r>
      <w:r>
        <w:rPr>
          <w:rFonts w:ascii="Helvetica" w:hAnsi="Helvetica" w:eastAsia="Helvetica" w:cs="Helvetica"/>
          <w:b/>
          <w:bCs/>
          <w:sz w:val="22"/>
          <w:szCs w:val="22"/>
          <w:lang w:val="en-GB" w:eastAsia="en-GB" w:bidi="en-GB"/>
        </w:rPr>
        <w:t xml:space="preserve">Monday, 2 November 2026.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b/>
          <w:bCs/>
          <w:sz w:val="22"/>
          <w:szCs w:val="22"/>
          <w:lang w:val="en-GB" w:eastAsia="en-GB" w:bidi="en-GB"/>
        </w:rPr>
      </w:pPr>
      <w:r>
        <w:rPr>
          <w:rFonts w:ascii="Helvetica" w:hAnsi="Helvetica" w:eastAsia="Helvetica" w:cs="Helvetica"/>
          <w:sz w:val="22"/>
          <w:szCs w:val="22"/>
          <w:lang w:val="en-GB" w:eastAsia="en-GB" w:bidi="en-GB"/>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Pr>
          <w:rFonts w:ascii="Helvetica" w:hAnsi="Helvetica" w:eastAsia="Helvetica" w:cs="Helvetica"/>
          <w:b/>
          <w:bCs/>
          <w:sz w:val="22"/>
          <w:szCs w:val="22"/>
          <w:lang w:val="en-GB" w:eastAsia="en-GB" w:bidi="en-GB"/>
        </w:rPr>
        <w:t xml:space="preserve">No hard copy application forms for this post can be issued or received either by post or by hand-delivery.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b/>
          <w:bCs/>
          <w:sz w:val="22"/>
          <w:szCs w:val="22"/>
          <w:lang w:val="en-GB" w:eastAsia="en-GB" w:bidi="en-GB"/>
        </w:rPr>
      </w:pPr>
      <w:r>
        <w:rPr>
          <w:rFonts w:ascii="Helvetica" w:hAnsi="Helvetica" w:eastAsia="Helvetica" w:cs="Helvetica"/>
          <w:b/>
          <w:bCs/>
          <w:sz w:val="22"/>
          <w:szCs w:val="22"/>
          <w:lang w:val="en-GB" w:eastAsia="en-GB" w:bidi="en-GB"/>
        </w:rPr>
        <w:t xml:space="preserve">Short-listing and interview 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It is envisaged that </w:t>
      </w:r>
      <w:r>
        <w:rPr>
          <w:rFonts w:ascii="Helvetica" w:hAnsi="Helvetica" w:eastAsia="Helvetica" w:cs="Helvetica"/>
          <w:b/>
          <w:bCs/>
          <w:sz w:val="22"/>
          <w:szCs w:val="22"/>
          <w:lang w:val="en-GB" w:eastAsia="en-GB" w:bidi="en-GB"/>
        </w:rPr>
        <w:t xml:space="preserve">short-listing</w:t>
      </w:r>
      <w:r>
        <w:rPr>
          <w:rFonts w:ascii="Helvetica" w:hAnsi="Helvetica" w:eastAsia="Helvetica" w:cs="Helvetica"/>
          <w:sz w:val="22"/>
          <w:szCs w:val="22"/>
          <w:lang w:val="en-GB" w:eastAsia="en-GB" w:bidi="en-GB"/>
        </w:rPr>
        <w:t xml:space="preserve"> for this post will take place on </w:t>
      </w:r>
      <w:r>
        <w:rPr>
          <w:rFonts w:ascii="Helvetica" w:hAnsi="Helvetica" w:eastAsia="Helvetica" w:cs="Helvetica"/>
          <w:b/>
          <w:bCs/>
          <w:sz w:val="22"/>
          <w:szCs w:val="22"/>
          <w:lang w:val="en-GB" w:eastAsia="en-GB" w:bidi="en-GB"/>
        </w:rPr>
        <w:t xml:space="preserve">Wednesday, 4 November 2026</w:t>
      </w:r>
      <w:r>
        <w:rPr>
          <w:rFonts w:ascii="Helvetica" w:hAnsi="Helvetica" w:eastAsia="Helvetica" w:cs="Helvetica"/>
          <w:sz w:val="22"/>
          <w:szCs w:val="22"/>
          <w:lang w:val="en-GB" w:eastAsia="en-GB" w:bidi="en-GB"/>
        </w:rPr>
        <w:t xml:space="preserve">.  While no specific testing or assessment arrangements are anticipated for this post, depending on the volume of applicants, the council reserves the right to include these mechanisms as part of the selection process. It is also envisaged that interviews will be held </w:t>
      </w:r>
      <w:r>
        <w:rPr>
          <w:rFonts w:ascii="Helvetica" w:hAnsi="Helvetica" w:eastAsia="Helvetica" w:cs="Helvetica"/>
          <w:b/>
          <w:bCs/>
          <w:sz w:val="22"/>
          <w:szCs w:val="22"/>
          <w:lang w:val="en-GB" w:eastAsia="en-GB" w:bidi="en-GB"/>
        </w:rPr>
        <w:t xml:space="preserve">in-person</w:t>
      </w:r>
      <w:r>
        <w:rPr>
          <w:rFonts w:ascii="Helvetica" w:hAnsi="Helvetica" w:eastAsia="Helvetica" w:cs="Helvetica"/>
          <w:sz w:val="22"/>
          <w:szCs w:val="22"/>
          <w:lang w:val="en-GB" w:eastAsia="en-GB" w:bidi="en-GB"/>
        </w:rPr>
        <w:t xml:space="preserve"> </w:t>
      </w:r>
      <w:r>
        <w:rPr>
          <w:rFonts w:ascii="Helvetica" w:hAnsi="Helvetica" w:eastAsia="Helvetica" w:cs="Helvetica"/>
          <w:b/>
          <w:bCs/>
          <w:sz w:val="22"/>
          <w:szCs w:val="22"/>
          <w:lang w:val="en-GB" w:eastAsia="en-GB" w:bidi="en-GB"/>
        </w:rPr>
        <w:t xml:space="preserve">on</w:t>
      </w:r>
      <w:r>
        <w:rPr>
          <w:rFonts w:ascii="Helvetica" w:hAnsi="Helvetica" w:eastAsia="Helvetica" w:cs="Helvetica"/>
          <w:sz w:val="22"/>
          <w:szCs w:val="22"/>
          <w:lang w:val="en-GB" w:eastAsia="en-GB" w:bidi="en-GB"/>
        </w:rPr>
        <w:t xml:space="preserve"> </w:t>
      </w:r>
      <w:r>
        <w:rPr>
          <w:rFonts w:ascii="Helvetica" w:hAnsi="Helvetica" w:eastAsia="Helvetica" w:cs="Helvetica"/>
          <w:b/>
          <w:bCs/>
          <w:sz w:val="22"/>
          <w:szCs w:val="22"/>
          <w:lang w:val="en-GB" w:eastAsia="en-GB" w:bidi="en-GB"/>
        </w:rPr>
        <w:t xml:space="preserve">Wednesday, 11 and Thursday, 12 November 2026. </w:t>
      </w:r>
      <w:r>
        <w:rPr>
          <w:rFonts w:ascii="Helvetica" w:hAnsi="Helvetica" w:eastAsia="Helvetica" w:cs="Helvetica"/>
          <w:sz w:val="22"/>
          <w:szCs w:val="22"/>
          <w:lang w:val="en-GB" w:eastAsia="en-GB" w:bidi="en-GB"/>
        </w:rPr>
        <w:t xml:space="preserve">Applicants short-listed to attend for the interview should ensure that they are available to attend on any of these days.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sz w:val="22"/>
          <w:szCs w:val="22"/>
          <w:lang w:val="en-GB" w:eastAsia="en-GB" w:bidi="en-GB"/>
        </w:rPr>
      </w:pPr>
      <w:r>
        <w:rPr>
          <w:rFonts w:ascii="Helvetica" w:hAnsi="Helvetica" w:eastAsia="Helvetica" w:cs="Helvetica"/>
          <w:sz w:val="22"/>
          <w:szCs w:val="22"/>
          <w:lang w:val="en-GB" w:eastAsia="en-GB" w:bidi="en-GB"/>
        </w:rPr>
        <w:t xml:space="preserve">The council will make all reasonable efforts to accommodate applicants who are unavailable on the specified interview dates but it is under no obligation to do so.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Helvetica" w:hAnsi="Helvetica" w:eastAsia="Helvetica" w:cs="Helvetica"/>
          <w:i/>
          <w:iCs/>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etica" w:hAnsi="Helvetica" w:eastAsia="Helvetica" w:cs="Helvetica"/>
          <w:sz w:val="22"/>
          <w:szCs w:val="22"/>
          <w:lang w:val="en-GB" w:eastAsia="en-GB" w:bidi="en-GB"/>
        </w:rPr>
      </w:pPr>
    </w:p>
    <w:sectPr>
      <w:footerReference w:type="default" r:id="rId00005"/>
      <w:pgSz w:w="11906" w:h="16838"/>
      <w:pgMar w:top="1135" w:right="1134" w:bottom="977" w:left="1080" w:header="709" w:footer="709"/>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Helvetica">
    <w:panose1 w:val="020B0604020202020204"/>
    <w:charset w:val="00"/>
    <w:family w:val="swiss"/>
    <w:pitch w:val="variable"/>
    <w:sig w:usb0="E0002EFF" w:usb1="C000785B" w:usb2="00000009" w:usb3="00000000" w:csb0="400001FF" w:csb1="FFFF0000"/>
  </w:font>
  <w:font w:name="Palatino">
    <w:charset w:val="00"/>
    <w:family w:val="roman"/>
    <w:pitch w:val="variable"/>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0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center"/>
      <w:rPr>
        <w:rStyle w:val="PageNumber"/>
        <w:rFonts w:ascii="Helvetica" w:hAnsi="Helvetica" w:eastAsia="Helvetica" w:cs="Helvetica"/>
        <w:sz w:val="16"/>
        <w:szCs w:val="16"/>
        <w:lang w:val="en-GB" w:eastAsia="en-GB" w:bidi="en-GB"/>
      </w:rPr>
    </w:pPr>
    <w:r>
      <w:rPr>
        <w:rStyle w:val="PageNumber"/>
        <w:rFonts w:ascii="Helvetica" w:hAnsi="Helvetica" w:eastAsia="Helvetica" w:cs="Helvetica"/>
        <w:noProof/>
        <w:sz w:val="16"/>
        <w:szCs w:val="16"/>
        <w:lang w:val="en-GB" w:eastAsia="en-GB" w:bidi="en-GB"/>
      </w:rPr>
      <w:fldChar w:fldCharType="begin"/>
    </w:r>
    <w:r>
      <w:rPr>
        <w:rStyle w:val="PageNumber"/>
        <w:rFonts w:ascii="Helvetica" w:hAnsi="Helvetica" w:eastAsia="Helvetica" w:cs="Helvetica"/>
        <w:noProof/>
        <w:sz w:val="16"/>
        <w:szCs w:val="16"/>
        <w:lang w:val="en-GB" w:eastAsia="en-GB" w:bidi="en-GB"/>
      </w:rPr>
      <w:instrText xml:space="preserve"> PAGE \* Arabic \* MERGEFORMAT </w:instrText>
    </w:r>
    <w:r>
      <w:rPr>
        <w:rStyle w:val="PageNumber"/>
        <w:rFonts w:ascii="Helvetica" w:hAnsi="Helvetica" w:eastAsia="Helvetica" w:cs="Helvetica"/>
        <w:noProof/>
        <w:sz w:val="16"/>
        <w:szCs w:val="16"/>
        <w:lang w:val="en-GB" w:eastAsia="en-GB" w:bidi="en-GB"/>
      </w:rPr>
      <w:fldChar w:fldCharType="separate"/>
    </w:r>
    <w:r>
      <w:rPr>
        <w:rStyle w:val="PageNumber"/>
        <w:rFonts w:ascii="Helvetica" w:hAnsi="Helvetica" w:eastAsia="Helvetica" w:cs="Helvetica"/>
        <w:noProof/>
        <w:sz w:val="16"/>
        <w:szCs w:val="16"/>
        <w:lang w:val="en-GB" w:eastAsia="en-GB" w:bidi="en-GB"/>
      </w:rPr>
      <w:t xml:space="preserve">4</w:t>
    </w:r>
    <w:r>
      <w:rPr>
        <w:rStyle w:val="PageNumber"/>
        <w:rFonts w:ascii="Helvetica" w:hAnsi="Helvetica" w:eastAsia="Helvetica" w:cs="Helvetica"/>
        <w:sz w:val="16"/>
        <w:szCs w:val="16"/>
        <w:lang w:val="en-GB" w:eastAsia="en-GB" w:bidi="en-GB"/>
      </w:rPr>
      <w:fldChar w:fldCharType="end"/>
    </w:r>
  </w:p>
</w:ftr>
</file>

<file path=word/numbering.xml><?xml version="1.0" encoding="utf-8"?>
<w:numbering xmlns:w="http://schemas.openxmlformats.org/wordprocessingml/2006/main">
  <w:abstractNum w:abstractNumId="0">
    <w:multiLevelType w:val="singleLevel"/>
    <w:lvl w:ilvl="0">
      <w:start w:val="1"/>
      <w:numFmt w:val="decimal"/>
      <w:suff w:val="tab"/>
      <w:lvlText w:val="%1."/>
      <w:pPr>
        <w:ind w:left="360" w:hanging="360"/>
        <w:tabs>
          <w:tab w:val="num" w:pos="360"/>
        </w:tabs>
      </w:pPr>
      <w:rPr>
        <w:rFonts w:hint="default" w:ascii="Helvetica" w:hAnsi="Helvetica" w:eastAsia="Helvetica" w:cs="Helvetica"/>
        <w:b w:val="off"/>
        <w:i w:val="off"/>
        <w:strike w:val="off"/>
        <w:color w:val="auto"/>
        <w:position w:val="0"/>
        <w:sz w:val="22"/>
        <w:u w:val="none"/>
        <w:shd w:val="clear" w:color="auto" w:fill="auto"/>
      </w:rPr>
    </w:lvl>
  </w:abstractNum>
  <w:abstractNum w:abstractNumId="1">
    <w:multiLevelType w:val="singleLevel"/>
    <w:lvl w:ilvl="0">
      <w:start w:val="1"/>
      <w:numFmt w:val="lowerLetter"/>
      <w:suff w:val="tab"/>
      <w:lvlText w:val="(%1)"/>
      <w:pPr>
        <w:ind w:left="426" w:hanging="426"/>
        <w:tabs>
          <w:tab w:val="num" w:pos="426"/>
        </w:tabs>
      </w:pPr>
      <w:rPr>
        <w:rFonts w:hint="default" w:ascii="Helvetica" w:hAnsi="Helvetica" w:eastAsia="Helvetica" w:cs="Helvetica"/>
        <w:b w:val="off"/>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character" w:styleId="PageNumber">
    <w:name w:val="page number"/>
    <w:qFormat/>
    <w:rPr>
      <w:rtl w:val="off"/>
    </w:rPr>
  </w:style>
  <w:style w:type="paragraph" w:styleId="Footer">
    <w:name w:val="footer"/>
    <w:basedOn w:val="Normal"/>
    <w:next w:val="Footer"/>
    <w:qFormat/>
    <w:pPr>
      <w:tabs>
        <w:tab w:val="center" w:pos="4153"/>
        <w:tab w:val="right" w:pos="830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spacing w:line="360" w:lineRule="auto"/>
      <w:jc w:val="center"/>
      <w:outlineLvl w:val="0"/>
    </w:pPr>
    <w:rPr>
      <w:b/>
      <w:bCs/>
      <w:sz w:val="36"/>
      <w:szCs w:val="36"/>
      <w:lang w:val="en-GB" w:eastAsia="en-GB" w:bidi="en-GB"/>
    </w:rPr>
  </w:style>
  <w:style w:type="paragraph" w:styleId="Style Heading 1 + Justified" w:customStyle="1">
    <w:name w:val="Style Heading 1 + Justified"/>
    <w:basedOn w:val="Heading1"/>
    <w:next w:val="Style Heading 1 + Justified"/>
    <w:qFormat/>
    <w:pPr>
      <w:spacing w:before="240" w:after="60"/>
    </w:pPr>
    <w:rPr>
      <w:lang w:val="en-GB" w:eastAsia="en-GB" w:bidi="en-GB"/>
    </w:rPr>
  </w:style>
  <w:style w:type="paragraph" w:styleId="Style Heading 1 + Helvetica Justified" w:customStyle="1">
    <w:name w:val="Style Heading 1 + Helvetica Justified"/>
    <w:basedOn w:val="Heading1"/>
    <w:next w:val="Style Heading 1 + Helvetica Justified"/>
    <w:qFormat/>
    <w:pPr>
      <w:jc w:val="both"/>
    </w:pPr>
    <w:rPr>
      <w:rFonts w:ascii="Helvetica" w:hAnsi="Helvetica" w:eastAsia="Helvetica" w:cs="Helvetica"/>
      <w:lang w:val="en-GB" w:eastAsia="en-GB" w:bidi="en-GB"/>
    </w:rPr>
  </w:style>
  <w:style w:type="paragraph" w:styleId="Heading2">
    <w:name w:val="heading 2"/>
    <w:basedOn w:val="Normal"/>
    <w:next w:val="Normal"/>
    <w:qFormat/>
    <w:pPr>
      <w:keepNext/>
      <w:outlineLvl w:val="1"/>
    </w:pPr>
    <w:rPr>
      <w:b/>
      <w:bCs/>
      <w:sz w:val="28"/>
      <w:szCs w:val="28"/>
      <w:lang w:val="en-GB" w:eastAsia="en-GB" w:bidi="en-GB"/>
    </w:rPr>
  </w:style>
  <w:style w:type="paragraph" w:styleId="Heading3">
    <w:name w:val="heading 3"/>
    <w:basedOn w:val="Normal"/>
    <w:next w:val="Normal"/>
    <w:qFormat/>
    <w:pPr>
      <w:keepNext/>
      <w:outlineLvl w:val="2"/>
    </w:pPr>
    <w:rPr>
      <w:b/>
      <w:bCs/>
      <w:lang w:val="en-GB" w:eastAsia="en-GB" w:bidi="en-GB"/>
    </w:rPr>
  </w:style>
  <w:style w:type="paragraph" w:styleId="Heading4">
    <w:name w:val="heading 4"/>
    <w:basedOn w:val="Normal"/>
    <w:next w:val="Normal"/>
    <w:qFormat/>
    <w:pPr>
      <w:keepNext/>
      <w:outlineLvl w:val="3"/>
    </w:pPr>
    <w:rPr>
      <w:i/>
      <w:iCs/>
      <w:lang w:val="en-GB" w:eastAsia="en-GB" w:bidi="en-GB"/>
    </w:rPr>
  </w:style>
  <w:style w:type="paragraph" w:styleId="Heading5">
    <w:name w:val="heading 5"/>
    <w:basedOn w:val="Normal"/>
    <w:next w:val="Normal"/>
    <w:qFormat/>
    <w:pPr>
      <w:keepNext/>
      <w:outlineLvl w:val="4"/>
    </w:pPr>
    <w:rPr>
      <w:b/>
      <w:bCs/>
      <w:lang w:val="en-GB" w:eastAsia="en-GB" w:bidi="en-GB"/>
    </w:rPr>
  </w:style>
  <w:style w:type="paragraph" w:styleId="Heading6">
    <w:name w:val="heading 6"/>
    <w:basedOn w:val="Normal"/>
    <w:next w:val="Normal"/>
    <w:qFormat/>
    <w:pPr>
      <w:keepNext/>
      <w:jc w:val="center"/>
      <w:outlineLvl w:val="5"/>
    </w:pPr>
    <w:rPr>
      <w:b/>
      <w:bCs/>
      <w:lang w:val="en-GB" w:eastAsia="en-GB" w:bidi="en-GB"/>
    </w:rPr>
  </w:style>
  <w:style w:type="paragraph" w:styleId="Heading7">
    <w:name w:val="heading 7"/>
    <w:basedOn w:val="Normal"/>
    <w:next w:val="Normal"/>
    <w:qFormat/>
    <w:pPr>
      <w:keepNext/>
      <w:outlineLvl w:val="6"/>
    </w:pPr>
    <w:rPr>
      <w:sz w:val="28"/>
      <w:szCs w:val="28"/>
      <w:lang w:val="en-GB" w:eastAsia="en-GB" w:bidi="en-GB"/>
    </w:rPr>
  </w:style>
  <w:style w:type="paragraph" w:styleId="Heading8">
    <w:name w:val="heading 8"/>
    <w:basedOn w:val="Normal"/>
    <w:next w:val="Normal"/>
    <w:qFormat/>
    <w:pPr>
      <w:keepNext/>
      <w:spacing w:line="360" w:lineRule="auto"/>
      <w:ind w:left="284"/>
      <w:outlineLvl w:val="7"/>
    </w:pPr>
    <w:rPr>
      <w:b/>
      <w:bCs/>
      <w:lang w:val="en-GB" w:eastAsia="en-GB" w:bidi="en-GB"/>
    </w:rPr>
  </w:style>
  <w:style w:type="paragraph" w:styleId="Heading9">
    <w:name w:val="heading 9"/>
    <w:basedOn w:val="Normal"/>
    <w:next w:val="Normal"/>
    <w:qFormat/>
    <w:pPr>
      <w:keepNext/>
      <w:tabs>
        <w:tab w:val="left" w:pos="3261"/>
        <w:tab w:val="left" w:pos="8080"/>
      </w:tabs>
      <w:ind w:right="613"/>
      <w:outlineLvl w:val="8"/>
    </w:pPr>
    <w:rPr>
      <w:sz w:val="96"/>
      <w:szCs w:val="96"/>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TOC1">
    <w:name w:val="toc 1"/>
    <w:basedOn w:val="Normal"/>
    <w:next w:val="Normal"/>
    <w:qFormat/>
    <w:pPr>
      <w:tabs>
        <w:tab w:val="right" w:leader="dot" w:pos="8693"/>
      </w:tabs>
    </w:pPr>
    <w:rPr>
      <w:b/>
      <w:bCs/>
      <w:lang w:val="en-GB" w:eastAsia="en-GB" w:bidi="en-GB"/>
    </w:rPr>
  </w:style>
  <w:style w:type="paragraph" w:styleId="TOC2">
    <w:name w:val="toc 2"/>
    <w:basedOn w:val="Normal"/>
    <w:next w:val="Normal"/>
    <w:qFormat/>
    <w:pPr>
      <w:tabs>
        <w:tab w:val="right" w:leader="dot" w:pos="8693"/>
      </w:tabs>
      <w:ind w:left="240"/>
    </w:pPr>
    <w:rPr>
      <w:b/>
      <w:bCs/>
      <w:sz w:val="22"/>
      <w:szCs w:val="22"/>
      <w:lang w:val="en-GB" w:eastAsia="en-GB" w:bidi="en-GB"/>
    </w:rPr>
  </w:style>
  <w:style w:type="paragraph" w:styleId="TOC3">
    <w:name w:val="toc 3"/>
    <w:basedOn w:val="Normal"/>
    <w:next w:val="Normal"/>
    <w:qFormat/>
    <w:pPr>
      <w:tabs>
        <w:tab w:val="right" w:leader="dot" w:pos="8693"/>
      </w:tabs>
      <w:ind w:left="480"/>
    </w:pPr>
    <w:rPr>
      <w:sz w:val="20"/>
      <w:szCs w:val="20"/>
      <w:lang w:val="en-GB" w:eastAsia="en-GB" w:bidi="en-GB"/>
    </w:rPr>
  </w:style>
  <w:style w:type="paragraph" w:styleId="TOC4">
    <w:name w:val="toc 4"/>
    <w:basedOn w:val="Normal"/>
    <w:next w:val="Normal"/>
    <w:qFormat/>
    <w:pPr>
      <w:tabs>
        <w:tab w:val="right" w:leader="dot" w:pos="8693"/>
      </w:tabs>
      <w:ind w:left="720"/>
    </w:pPr>
    <w:rPr>
      <w:sz w:val="20"/>
      <w:szCs w:val="20"/>
      <w:lang w:val="en-GB" w:eastAsia="en-GB" w:bidi="en-GB"/>
    </w:rPr>
  </w:style>
  <w:style w:type="paragraph" w:styleId="TOC5">
    <w:name w:val="toc 5"/>
    <w:basedOn w:val="Normal"/>
    <w:next w:val="Normal"/>
    <w:qFormat/>
    <w:pPr>
      <w:tabs>
        <w:tab w:val="right" w:leader="underscore" w:pos="8693"/>
      </w:tabs>
      <w:ind w:left="960"/>
    </w:pPr>
    <w:rPr>
      <w:sz w:val="20"/>
      <w:szCs w:val="20"/>
      <w:lang w:val="en-GB" w:eastAsia="en-GB" w:bidi="en-GB"/>
    </w:rPr>
  </w:style>
  <w:style w:type="paragraph" w:styleId="TOC6">
    <w:name w:val="toc 6"/>
    <w:basedOn w:val="Normal"/>
    <w:next w:val="Normal"/>
    <w:qFormat/>
    <w:pPr>
      <w:tabs>
        <w:tab w:val="right" w:leader="underscore" w:pos="8693"/>
      </w:tabs>
      <w:ind w:left="1200"/>
    </w:pPr>
    <w:rPr>
      <w:sz w:val="20"/>
      <w:szCs w:val="20"/>
      <w:lang w:val="en-GB" w:eastAsia="en-GB" w:bidi="en-GB"/>
    </w:rPr>
  </w:style>
  <w:style w:type="paragraph" w:styleId="TOC7">
    <w:name w:val="toc 7"/>
    <w:basedOn w:val="Normal"/>
    <w:next w:val="Normal"/>
    <w:qFormat/>
    <w:pPr>
      <w:tabs>
        <w:tab w:val="right" w:leader="underscore" w:pos="8693"/>
      </w:tabs>
      <w:ind w:left="1440"/>
    </w:pPr>
    <w:rPr>
      <w:sz w:val="20"/>
      <w:szCs w:val="20"/>
      <w:lang w:val="en-GB" w:eastAsia="en-GB" w:bidi="en-GB"/>
    </w:rPr>
  </w:style>
  <w:style w:type="paragraph" w:styleId="TOC8">
    <w:name w:val="toc 8"/>
    <w:basedOn w:val="Normal"/>
    <w:next w:val="Normal"/>
    <w:qFormat/>
    <w:pPr>
      <w:tabs>
        <w:tab w:val="right" w:leader="underscore" w:pos="8693"/>
      </w:tabs>
      <w:ind w:left="1680"/>
    </w:pPr>
    <w:rPr>
      <w:sz w:val="20"/>
      <w:szCs w:val="20"/>
      <w:lang w:val="en-GB" w:eastAsia="en-GB" w:bidi="en-GB"/>
    </w:rPr>
  </w:style>
  <w:style w:type="paragraph" w:styleId="TOC9">
    <w:name w:val="toc 9"/>
    <w:basedOn w:val="Normal"/>
    <w:next w:val="Normal"/>
    <w:qFormat/>
    <w:pPr>
      <w:tabs>
        <w:tab w:val="right" w:leader="underscore" w:pos="8693"/>
      </w:tabs>
      <w:ind w:left="1920"/>
    </w:pPr>
    <w:rPr>
      <w:sz w:val="20"/>
      <w:szCs w:val="20"/>
      <w:lang w:val="en-GB" w:eastAsia="en-GB" w:bidi="en-GB"/>
    </w:rPr>
  </w:style>
  <w:style w:type="paragraph" w:styleId="BlockText">
    <w:name w:val="Block Text"/>
    <w:basedOn w:val="Normal"/>
    <w:next w:val="BlockText"/>
    <w:qFormat/>
    <w:pPr>
      <w:tabs>
        <w:tab w:val="left" w:pos="8080"/>
      </w:tabs>
      <w:ind w:right="613"/>
    </w:pPr>
    <w:rPr>
      <w:sz w:val="96"/>
      <w:szCs w:val="96"/>
      <w:lang w:val="en-GB" w:eastAsia="en-GB" w:bidi="en-GB"/>
    </w:rPr>
  </w:style>
  <w:style w:type="paragraph" w:styleId="BodyText">
    <w:name w:val="Body Text"/>
    <w:basedOn w:val="Normal"/>
    <w:next w:val="BodyText"/>
    <w:qFormat/>
    <w:pPr/>
    <w:rPr>
      <w:sz w:val="96"/>
      <w:szCs w:val="96"/>
      <w:lang w:val="en-GB" w:eastAsia="en-GB" w:bidi="en-GB"/>
    </w:rPr>
  </w:style>
  <w:style w:type="paragraph" w:styleId="Title">
    <w:name w:val="Title"/>
    <w:basedOn w:val="Normal"/>
    <w:next w:val="Title"/>
    <w:qFormat/>
    <w:pPr>
      <w:jc w:val="center"/>
    </w:pPr>
    <w:rPr>
      <w:rFonts w:ascii="Palatino" w:hAnsi="Palatino" w:eastAsia="Palatino" w:cs="Palatino"/>
      <w:b/>
      <w:bCs/>
      <w:color w:val="0000FF"/>
      <w:sz w:val="36"/>
      <w:szCs w:val="36"/>
      <w:lang w:val="en-GB" w:eastAsia="en-GB" w:bidi="en-GB"/>
    </w:rPr>
  </w:style>
  <w:style w:type="character" w:styleId="LineNumber">
    <w:name w:val="line number"/>
    <w:qFormat/>
    <w:rPr>
      <w:rtl w:val="off"/>
    </w:rPr>
  </w:style>
  <w:style w:type="character" w:styleId="Hyperlink">
    <w:name w:val="Hyperlink"/>
    <w:qFormat/>
    <w:rPr>
      <w:color w:val="0000FF"/>
      <w:u w:val="single"/>
      <w:rtl w:val="off"/>
    </w:rPr>
  </w:style>
  <w:style w:type="paragraph" w:styleId="NormalWeb">
    <w:name w:val="Normal (Web)"/>
    <w:basedOn w:val="Normal"/>
    <w:next w:val="NormalWeb"/>
    <w:qFormat/>
    <w:pPr/>
    <w:rPr>
      <w:lang w:val="en-US" w:eastAsia="en-US" w:bidi="en-US"/>
    </w:rPr>
  </w:style>
  <w:style w:type="character" w:styleId="Heading 2 Char" w:customStyle="1">
    <w:name w:val="Heading 2 Char"/>
    <w:qFormat/>
    <w:rPr>
      <w:rFonts w:ascii="Arial" w:hAnsi="Arial" w:eastAsia="Arial" w:cs="Arial"/>
      <w:b/>
      <w:bCs/>
      <w:sz w:val="28"/>
      <w:szCs w:val="28"/>
      <w:rtl w:val="off"/>
      <w:lang w:val="en-GB" w:eastAsia="en-GB" w:bidi="en-GB"/>
    </w:rPr>
  </w:style>
  <w:style w:type="paragraph" w:styleId="BodyText2">
    <w:name w:val="Body Text 2"/>
    <w:basedOn w:val="Normal"/>
    <w:next w:val="BodyText2"/>
    <w:qFormat/>
    <w:pPr>
      <w:spacing w:after="120" w:line="480" w:lineRule="auto"/>
    </w:pPr>
    <w:rPr>
      <w:lang w:val="en-GB" w:eastAsia="en-GB" w:bidi="en-GB"/>
    </w:rPr>
  </w:style>
  <w:style w:type="paragraph" w:styleId="BodyTextIndent2">
    <w:name w:val="Body Text Indent 2"/>
    <w:basedOn w:val="Normal"/>
    <w:next w:val="BodyTextIndent2"/>
    <w:qFormat/>
    <w:pPr>
      <w:spacing w:after="120" w:line="480" w:lineRule="auto"/>
      <w:ind w:left="283"/>
    </w:pPr>
    <w:rPr>
      <w:lang w:val="en-GB" w:eastAsia="en-GB" w:bidi="en-GB"/>
    </w:rPr>
  </w:style>
  <w:style w:type="character" w:styleId="Heading 1 Char" w:customStyle="1">
    <w:name w:val="Heading 1 Char"/>
    <w:qFormat/>
    <w:rPr>
      <w:rFonts w:ascii="Arial" w:hAnsi="Arial" w:eastAsia="Arial" w:cs="Arial"/>
      <w:b/>
      <w:bCs/>
      <w:sz w:val="36"/>
      <w:szCs w:val="36"/>
      <w:rtl w:val="off"/>
      <w:lang w:val="en-GB" w:eastAsia="en-GB" w:bidi="en-GB"/>
    </w:rPr>
  </w:style>
  <w:style w:type="character" w:styleId="Emphasis">
    <w:name w:val="Emphasis"/>
    <w:qFormat/>
    <w:rPr>
      <w:i/>
      <w:iCs/>
      <w:rtl w:val="off"/>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Balloon Text Char" w:customStyle="1">
    <w:name w:val="Balloon Text Char"/>
    <w:qFormat/>
    <w:rPr>
      <w:rFonts w:ascii="Segoe UI" w:hAnsi="Segoe UI" w:eastAsia="Segoe UI" w:cs="Segoe UI"/>
      <w:sz w:val="18"/>
      <w:szCs w:val="18"/>
      <w:rtl w:val="off"/>
    </w:rPr>
  </w:style>
  <w:style w:type="character" w:styleId="CommentReference">
    <w:name w:val="annotation reference"/>
    <w:qFormat/>
    <w:rPr>
      <w:sz w:val="16"/>
      <w:szCs w:val="16"/>
      <w:rtl w:val="off"/>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rtl w:val="off"/>
    </w:rPr>
  </w:style>
  <w:style w:type="character" w:styleId="Comment Subject Char" w:customStyle="1">
    <w:name w:val="Comment Subject Char"/>
    <w:basedOn w:val="Comment Text Char"/>
    <w:qFormat/>
    <w:rPr>
      <w:b/>
      <w:bCs/>
    </w:rPr>
  </w:style>
  <w:style w:type="character" w:styleId="UnresolvedMention">
    <w:name w:val="Unresolved Mention"/>
    <w:qFormat/>
    <w:rPr>
      <w:color w:val="605E5C"/>
      <w:shd w:val="clear" w:color="auto" w:fill="E1DFDD"/>
      <w:rtl w:val="off"/>
    </w:rPr>
  </w:style>
  <w:style w:type="paragraph" w:styleId="FootnoteText">
    <w:name w:val="footnote text"/>
    <w:basedOn w:val="Normal"/>
    <w:next w:val="FootnoteText"/>
    <w:qFormat/>
    <w:pPr/>
    <w:rPr>
      <w:sz w:val="20"/>
      <w:szCs w:val="20"/>
      <w:lang w:val="en-GB" w:eastAsia="en-GB" w:bidi="en-GB"/>
    </w:rPr>
  </w:style>
  <w:style w:type="character" w:styleId="Footnote Text Char" w:customStyle="1">
    <w:name w:val="Footnote Text Char"/>
    <w:qFormat/>
    <w:rPr>
      <w:rtl w:val="off"/>
    </w:rPr>
  </w:style>
  <w:style w:type="character" w:styleId="FootnoteReference">
    <w:name w:val="footnote reference"/>
    <w:qFormat/>
    <w:rPr>
      <w:vertAlign w:val="superscript"/>
      <w:rtl w:val="off"/>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4"/>
      <w:szCs w:val="24"/>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footer" Target="footer0001.xml"/>
	<Relationship Id="rId00006" Type="http://schemas.openxmlformats.org/officeDocument/2006/relationships/numbering" Target="numbering.xml"/>
	<Relationship Id="rId00007" Type="http://schemas.openxmlformats.org/officeDocument/2006/relationships/fontTable" Target="fontTable.xml"/>
	<Relationship Id="rId0000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Ashlin McCourt</dc:creator>
  <dcterms:created xsi:type="dcterms:W3CDTF">2025-11-12T09:36:00Z</dcterms:created>
</cp:coreProperties>
</file>